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8653" w:type="dxa"/>
        <w:tblLook w:val="00A0" w:firstRow="1" w:lastRow="0" w:firstColumn="1" w:lastColumn="0" w:noHBand="0" w:noVBand="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4E2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08.09.2016</w:t>
            </w:r>
            <w:r w:rsidR="004273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="004E2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4273B0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602EE3" w:rsidRPr="000D24C9" w:rsidRDefault="004E20EA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4273B0" w:rsidRPr="004273B0">
              <w:rPr>
                <w:b/>
                <w:bCs/>
                <w:sz w:val="27"/>
                <w:szCs w:val="27"/>
              </w:rPr>
              <w:t xml:space="preserve"> </w:t>
            </w:r>
            <w:r w:rsidR="000D24C9" w:rsidRPr="00517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24C9" w:rsidRPr="000D2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Положения «Об организации уличного </w:t>
            </w:r>
            <w:r w:rsidR="000D24C9" w:rsidRPr="000D2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освещения на территории МО </w:t>
            </w:r>
            <w:r w:rsidR="004E24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Имангуловский</w:t>
            </w:r>
            <w:r w:rsidR="000D24C9" w:rsidRPr="000D2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сельсовет» </w:t>
            </w:r>
            <w:r w:rsidR="000D24C9" w:rsidRPr="000D2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0D24C9" w:rsidRPr="000D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4E2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Pr="000D24C9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1F3" w:rsidRDefault="004273B0" w:rsidP="00E951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C9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Законом </w:t>
      </w:r>
      <w:r w:rsidR="000D24C9"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Инструкцией по проектированию наружного освещения городов, поселков и сельских населенных пунктов (СН 541-82 Госгражданстроя), утвержденной приказом Государственного комитета по гражданскому строительству и архитектуре при Госстрое СССР от 14.01.1982 N 1</w:t>
      </w:r>
      <w:r w:rsidR="00E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сводом правил «СНиП 23-05-95»  «</w:t>
      </w:r>
      <w:r w:rsidR="000D24C9"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Естественное и искусственное освещение», утвержденных Приказом Министерства регионального развития Российской Федерации от 27.12.2010 N 783, Правилами устройства электроустановок, утвержденными Приказом Министерства энергетики Российской Федерации от 08.07.2002 N 204, Уставом МО </w:t>
      </w:r>
      <w:r w:rsidR="004E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Имангуловский</w:t>
      </w:r>
      <w:r w:rsidR="000D24C9"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депутатов, РЕШИЛ: </w:t>
      </w:r>
      <w:r w:rsidR="000D24C9"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0D24C9"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Положение «Об организации уличного освещения на территории» согласно приложению к настоящему решению. </w:t>
      </w:r>
      <w:r w:rsidR="000D24C9"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D24C9"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</w:t>
      </w:r>
      <w:r w:rsidR="004E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02EE3" w:rsidRPr="00E951F3" w:rsidRDefault="000D24C9" w:rsidP="00E951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после его официального опубликования. </w:t>
      </w:r>
      <w:r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EE3" w:rsidRPr="004273B0">
        <w:rPr>
          <w:rFonts w:ascii="Times New Roman" w:eastAsia="Calibri" w:hAnsi="Times New Roman" w:cs="Times New Roman"/>
          <w:sz w:val="27"/>
          <w:szCs w:val="27"/>
        </w:rPr>
        <w:t xml:space="preserve">Глава муниципального образования      </w:t>
      </w:r>
      <w:r w:rsidR="00602EE3" w:rsidRPr="004273B0">
        <w:rPr>
          <w:rFonts w:ascii="Times New Roman" w:eastAsia="Calibri" w:hAnsi="Times New Roman" w:cs="Times New Roman"/>
          <w:sz w:val="27"/>
          <w:szCs w:val="27"/>
        </w:rPr>
        <w:tab/>
      </w:r>
      <w:r w:rsidR="00602EE3" w:rsidRPr="004273B0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А.И.Габдуллина  </w:t>
      </w:r>
    </w:p>
    <w:p w:rsidR="004273B0" w:rsidRDefault="004273B0" w:rsidP="004273B0">
      <w:pPr>
        <w:rPr>
          <w:rFonts w:ascii="Times New Roman" w:eastAsia="Calibri" w:hAnsi="Times New Roman" w:cs="Times New Roman"/>
          <w:sz w:val="27"/>
          <w:szCs w:val="27"/>
        </w:rPr>
      </w:pPr>
    </w:p>
    <w:p w:rsidR="00602EE3" w:rsidRPr="004273B0" w:rsidRDefault="004273B0" w:rsidP="004273B0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Разослано:   </w:t>
      </w:r>
      <w:r w:rsidR="00602EE3" w:rsidRPr="004273B0">
        <w:rPr>
          <w:rFonts w:ascii="Times New Roman" w:eastAsia="Calibri" w:hAnsi="Times New Roman" w:cs="Times New Roman"/>
          <w:sz w:val="27"/>
          <w:szCs w:val="27"/>
        </w:rPr>
        <w:t xml:space="preserve">прокуратуре         </w:t>
      </w:r>
    </w:p>
    <w:tbl>
      <w:tblPr>
        <w:tblpPr w:leftFromText="180" w:rightFromText="180" w:vertAnchor="text" w:horzAnchor="page" w:tblpX="2242" w:tblpY="-185"/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4273B0" w:rsidRPr="004273B0" w:rsidTr="004273B0">
        <w:tc>
          <w:tcPr>
            <w:tcW w:w="5148" w:type="dxa"/>
          </w:tcPr>
          <w:p w:rsidR="004273B0" w:rsidRPr="004273B0" w:rsidRDefault="004273B0" w:rsidP="0042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B0" w:rsidRPr="004273B0" w:rsidRDefault="004273B0" w:rsidP="0042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>к  решению  Совета депутатов муниципального образования Имангуловский сельсовет</w:t>
            </w: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E24E1">
              <w:rPr>
                <w:rFonts w:ascii="Times New Roman" w:hAnsi="Times New Roman" w:cs="Times New Roman"/>
                <w:sz w:val="28"/>
                <w:szCs w:val="28"/>
              </w:rPr>
              <w:t xml:space="preserve">08.09.2016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24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3B0" w:rsidRPr="004273B0" w:rsidRDefault="004273B0" w:rsidP="004273B0">
      <w:pPr>
        <w:rPr>
          <w:rFonts w:ascii="Times New Roman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960" w:rsidRPr="000D24C9" w:rsidRDefault="00B00960" w:rsidP="000D24C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4C9" w:rsidRPr="000D24C9" w:rsidRDefault="000D24C9" w:rsidP="000D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C9" w:rsidRPr="000D24C9" w:rsidRDefault="000D24C9" w:rsidP="000D24C9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0D2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«ОБ ОРГАНИЗАЦИИ УЛИЧНОГО ОСВЕЩЕНИЯ НА ТЕРРИТОРИИ МО </w:t>
      </w:r>
      <w:r w:rsidR="004E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ИМАНГУЛОВСКИЙ</w:t>
      </w:r>
      <w:r w:rsidRPr="000D2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</w:t>
      </w:r>
    </w:p>
    <w:p w:rsidR="004E24E1" w:rsidRDefault="000D24C9" w:rsidP="000D24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C9">
        <w:rPr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       Настоящее Положение разработано на основании Федерального закона от 06.10.2003 N 131-ФЗ «Об общих принципах организации местного самоуправления в Российской Федерации», Устава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Настоящее Положение определяет организационно-правовое, финансовое обеспечение осуществления деятельности по освещению улиц на территории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 xml:space="preserve">        Статья1.Общие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>положения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1. В настоящем Положении используются следующие понятия и термины: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1) уличное освещение - следующие виды освещения улиц: функциональное освещение, архитектурное освещение, информационное освещение, иллюминация;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функциональное освещение - уличное освещение, которое осуществляется стационарными установками освещения дорожных покрытий и пространств в транспортных и пешеходных зонах.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>Установки функционального освещения подразделяют на обычные, высокомачтовые, парапетные, газонные и встроенные;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3) архитектурное освещение - освещение, которое применяется для формирования художественно выразительной визуальной среды в вечернем городе. Осуществляется стационарными или временными установками освещения объектов, главным образом, наружного освещения их фасадных поверхностей;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4) информационное освещение - световая информация, световая реклама, ориентирующая пешеходов и водителей автотранспорта, в городском пространстве и участвующая в решении светокомпозиционных задач;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5) иллюминация - декоративное освещение, в том числе праздничное, предназначенное только для украшения улиц, площадей, зданий, сооружений и элементов ландшафта без необходимости создания определенного уровня освещенности.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Участниками отношений, регулируемых настоящим Положением, являются: Совет депутатов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организации, оказывающие услуги по текущему содержанию, техническому обслуживанию и эксплуатации муниципальных объектов уличного освещения (далее -специализированные организации, осуществляющие уличное освещение).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Статья 2. Полномочия органов местного самоуправления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организации уличного освещения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Совет депутатов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осуществляет следующие полномочия: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принимает нормативные правовые акты в области деятельности, связанной с организацией уличного освещения в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соответствии с законодательством Российской Федерации;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утверждает расходы местного бюджета на организацию уличного освещения в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3) осуществляет контроль за деятельностью администрации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организации уличного освещения в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4) осуществляет иные полномочия в соответствии с законодательством Российской Федерации, Оренбургской области, Уставом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пределах компетенции.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2. Администрация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размещает муниципальный заказ на техническое обслуживание сетей уличного освещения, на капитальный ремонт, реконструкцию и строительство муниципальных объектов уличного освещения, на иные работы в целях организации уличного освещения на территории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 сельсовет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2) осуществляет контроль за текущим содержанием, техническим обслуживанием и эксплуатацией муниципальных объектов уличного освещения, за обеспечением их сохранности;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3) разрабатывает основные направления инвестиционной политики в области развития уличного освещения;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4) утверждает долгосрочные муниципальные программы в области реконструкции, модернизации уличного освещения;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5) разрабатывает и утверждает графики включения и отключения уличного освещения, а также лимит потребления электроэнергии по уличному освещению в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6) проводит инвентаризацию существующих сетей уличного освещения на территории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7) осуществляет иные полномочия в соответствии с законодательством Российской Федерации, Оренбургской области, Уставом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пределах компетенции.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>Статья 3. Требования к организации уличного освещения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1. Обустройство уличного освещения на территории должно выполняться в соответствии с требованиями действующего законодательства: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1) Инструкцией по проектированию наружного освещения городов, поселков и сельских населенных пунктов (СН 541-82 Госгражданстроя), утвержденной приказом Государственного комитета по гражданскому строительству и архитектуре при Госстрое СССР от 14.01.1982 N13;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2) сводом правил «СНиП 23-05-95* «Естественное и искусственное освещение», утвержденных приказом Министерства регионального развития Российской Федерации от 27.12.2010 N 783;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3) Правилами устройства электроустановок, утвержденными приказом Министерства энергетики Российской Федерации от 08.07.2002 N 204.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2. Освещение улиц на территории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непрерывно в вечернее и ночное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>время.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3. В зависимости от интенсивности движения по улицам и типов дорожного покрытия на территории городского округа устанавливаются соответствующие уровни освещения проезжей части улиц согласно Инструкции по проектированию наружного освещения городов, поселков и сельских населенных пунктов (СН 541-82 Госгражданстроя), утвержденной приказом Государственного комитета по гражданскому строительству и архитектуре при Госстрое СССР от 14.0Ы982 N 13.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На пешеходных переходах в одном уровне с проезжей частью улиц и дорог с интенсивностью движения более 500 транспортных средств в час, следует предусматривать повышения нормы освещения не менее, чем в 1,3 раза по сравнению с нормой освещения пересекаемой проезжей части.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Увеличение уровня освещения достигается за счет изменения шага опор, установки дополнительных или более мощных световых приборов, использования осветленного покрытия на переходе и т.п.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4. Расчет освещенности, выбор светильников, опор, их шага, расстановки и конструктивного исполнения устанавливается схемой развития и реконструкции муниципальных электрических сетей с учетом типовых решений.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5. Опоры для светильников уличного освещения следует, располагать на тротуарах или разделительных и зеленых полосах на расстоянии не менее 0,6 м от лицевой грани бортового камня до наружной поверхности опоры (или его цоколя). Это расстояние на жилых улицах может быть уменьшено до 0,3 м.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При освещении пешеходных дорожек светильники допускается устанавливать на высоте не менее 3 м.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Светильники, установленные у входов в здание, рекомендуется присоединять к групповой сети внутреннего освещения. Над каждым входом в здание или рядом с ним должны быть установлены светильники, обеспечивающие уровень средней яркости освещения не менее установленных норм, предусмотренных СНиП.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Включение уличного освещения производится при снижении уровня естественной освещенности в вечерние сумерки до 20 люкс, а отключение - в утренние сумерки при ее повышении до 10 люкс согласно Инструкции по проектированию наружного освещения городов, поселков и сельских населенных пунктов (СН 541-82 Госгражданстроя), утвержденной приказом Государственного комитета по гражданскому строительству и архитектуре при Госстрое СССР от 14.01.1982 N 13.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7. Питание сетей уличного освещения должно производиться непосредственно от распределительных пунктов или вводов осветительной сети здания при условии, что уличное освещение должно управляться независимо от внутреннего освещения, и оснащено расчетными приборами учета электрической энергии.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8. Управление уличным освещением является централизованным и осуществляется из диспетчерского пункта организации, выполняется по каскадной схеме или автономным контроллером (реле времени, фотодатчик).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Устройство управления сетью уличного освещения может быть основано на телемеханическом методе передачи данных (прием сигнала от пульта управления по телефонным парам) или на передаче данных по выделенным линиям волоконно-оптического кабеля, каналам системы GPRS и GSM.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9. Отказы в работе муниципальных объектов уличного освещения, связанные с обрывом электрических проводов или повреждением опор, отказом системы управления наружным освещением должны устраняться специализированной организацией немедленно после обнаружения.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10. Учет потребляемой электроэнергии для уличного потребления производится по показаниям электросчетчиков, установленных на трансформаторных подстанциях.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>Статья 4. Организация содержания, технического обслуживания и эксплуатации объектов уличного освещения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1. Ремонт, реконструкция и строительство муниципальных объектов уличного освещения производятся за счет средств местного бюджета.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2. С целью организации текущего содержания, технического обслуживания и эксплуатации муниципальных объектов уличного освещения администрация городского округа передает в порядке, установленном в соответствии с действующим законодательством Российской Федерации, муниципальные объекты уличного освещения специализированной организации, осуществляющей уличное освещение (далее, организация).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3.Организация: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совместно со специалистами администрации МО 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производит плановые осмотры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муниципальных объектов уличного освещения;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2) обеспечивает надлежащее состояние и безопасность распределительных и питающих линий уличного освещения;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3) осуществляет ежемесячно снятие показаний приборов учета электрической энергии, потребленной муниципальными объектами</w:t>
      </w:r>
      <w:r w:rsidR="004E24E1">
        <w:rPr>
          <w:rFonts w:ascii="Times New Roman" w:hAnsi="Times New Roman" w:cs="Times New Roman"/>
          <w:sz w:val="28"/>
          <w:szCs w:val="28"/>
          <w:lang w:eastAsia="ru-RU"/>
        </w:rPr>
        <w:t xml:space="preserve"> уличного освещения. </w:t>
      </w:r>
      <w:r w:rsidRPr="000D24C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D24C9" w:rsidRPr="000D24C9" w:rsidRDefault="004E24E1" w:rsidP="000D24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D24C9" w:rsidRPr="000D24C9">
        <w:rPr>
          <w:rFonts w:ascii="Times New Roman" w:hAnsi="Times New Roman" w:cs="Times New Roman"/>
          <w:sz w:val="28"/>
          <w:szCs w:val="28"/>
          <w:lang w:eastAsia="ru-RU"/>
        </w:rPr>
        <w:t xml:space="preserve">Статья 5. Финансовое обеспечение уличного освещения на территории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Имангуловский сельсовет </w:t>
      </w:r>
      <w:r w:rsidR="000D24C9" w:rsidRPr="000D24C9">
        <w:rPr>
          <w:rFonts w:ascii="Times New Roman" w:hAnsi="Times New Roman" w:cs="Times New Roman"/>
          <w:sz w:val="28"/>
          <w:szCs w:val="28"/>
          <w:lang w:eastAsia="ru-RU"/>
        </w:rPr>
        <w:br/>
        <w:t>Финансовое обеспечение уличного освещения на территории осуществляется за счет средств местного бюджета, допускается привлечение инвестиций и других источников финансирования, предусмотренных действующим законодательством.</w:t>
      </w:r>
    </w:p>
    <w:p w:rsidR="004E20EA" w:rsidRPr="000D24C9" w:rsidRDefault="004E20EA" w:rsidP="000D24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4E20EA" w:rsidRPr="000D24C9" w:rsidSect="004273B0">
      <w:headerReference w:type="default" r:id="rId9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08" w:rsidRDefault="004B1908">
      <w:pPr>
        <w:spacing w:after="0" w:line="240" w:lineRule="auto"/>
      </w:pPr>
      <w:r>
        <w:separator/>
      </w:r>
    </w:p>
  </w:endnote>
  <w:endnote w:type="continuationSeparator" w:id="0">
    <w:p w:rsidR="004B1908" w:rsidRDefault="004B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08" w:rsidRDefault="004B1908">
      <w:pPr>
        <w:spacing w:after="0" w:line="240" w:lineRule="auto"/>
      </w:pPr>
      <w:r>
        <w:separator/>
      </w:r>
    </w:p>
  </w:footnote>
  <w:footnote w:type="continuationSeparator" w:id="0">
    <w:p w:rsidR="004B1908" w:rsidRDefault="004B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74193"/>
      <w:docPartObj>
        <w:docPartGallery w:val="Page Numbers (Top of Page)"/>
        <w:docPartUnique/>
      </w:docPartObj>
    </w:sdtPr>
    <w:sdtEndPr/>
    <w:sdtContent>
      <w:p w:rsidR="00A35313" w:rsidRDefault="003B62E6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E951F3">
          <w:rPr>
            <w:noProof/>
          </w:rPr>
          <w:t>6</w:t>
        </w:r>
        <w:r>
          <w:fldChar w:fldCharType="end"/>
        </w:r>
      </w:p>
    </w:sdtContent>
  </w:sdt>
  <w:p w:rsidR="00A35313" w:rsidRDefault="00E951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44D"/>
    <w:multiLevelType w:val="hybridMultilevel"/>
    <w:tmpl w:val="0492B418"/>
    <w:lvl w:ilvl="0" w:tplc="98AC8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612"/>
    <w:rsid w:val="00052612"/>
    <w:rsid w:val="000D24C9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3B62E6"/>
    <w:rsid w:val="004273B0"/>
    <w:rsid w:val="00450DEF"/>
    <w:rsid w:val="00453BB1"/>
    <w:rsid w:val="00491A13"/>
    <w:rsid w:val="004B1908"/>
    <w:rsid w:val="004E20EA"/>
    <w:rsid w:val="004E24E1"/>
    <w:rsid w:val="005816A3"/>
    <w:rsid w:val="005F786C"/>
    <w:rsid w:val="00602EE3"/>
    <w:rsid w:val="00691D0C"/>
    <w:rsid w:val="006F5187"/>
    <w:rsid w:val="007803E6"/>
    <w:rsid w:val="007A038C"/>
    <w:rsid w:val="0085189C"/>
    <w:rsid w:val="008560C4"/>
    <w:rsid w:val="00881193"/>
    <w:rsid w:val="009B4422"/>
    <w:rsid w:val="00A262E1"/>
    <w:rsid w:val="00AE1EF2"/>
    <w:rsid w:val="00B00960"/>
    <w:rsid w:val="00B267F1"/>
    <w:rsid w:val="00B31A69"/>
    <w:rsid w:val="00B770BE"/>
    <w:rsid w:val="00B929E9"/>
    <w:rsid w:val="00BD1D72"/>
    <w:rsid w:val="00C24481"/>
    <w:rsid w:val="00C5061D"/>
    <w:rsid w:val="00C56587"/>
    <w:rsid w:val="00C75713"/>
    <w:rsid w:val="00CF088F"/>
    <w:rsid w:val="00D124E7"/>
    <w:rsid w:val="00E150CC"/>
    <w:rsid w:val="00E233B7"/>
    <w:rsid w:val="00E951F3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73B0"/>
    <w:pPr>
      <w:spacing w:after="0" w:line="240" w:lineRule="auto"/>
    </w:pPr>
  </w:style>
  <w:style w:type="paragraph" w:customStyle="1" w:styleId="ConsNormal">
    <w:name w:val="ConsNormal"/>
    <w:rsid w:val="00427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42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9547-D0F1-430C-8E52-8D289E19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18</cp:revision>
  <cp:lastPrinted>2016-09-22T09:26:00Z</cp:lastPrinted>
  <dcterms:created xsi:type="dcterms:W3CDTF">2014-02-19T09:12:00Z</dcterms:created>
  <dcterms:modified xsi:type="dcterms:W3CDTF">2016-09-22T09:26:00Z</dcterms:modified>
</cp:coreProperties>
</file>