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0"/>
        <w:tblW w:w="9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969"/>
        <w:gridCol w:w="160"/>
        <w:gridCol w:w="1158"/>
        <w:gridCol w:w="425"/>
        <w:gridCol w:w="3119"/>
        <w:gridCol w:w="352"/>
      </w:tblGrid>
      <w:tr w:rsidR="00AE6C31" w:rsidRPr="00AE6C31" w:rsidTr="00D65821">
        <w:trPr>
          <w:cantSplit/>
          <w:trHeight w:val="432"/>
        </w:trPr>
        <w:tc>
          <w:tcPr>
            <w:tcW w:w="4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E6C31" w:rsidRPr="00AE6C31" w:rsidRDefault="00AE6C31" w:rsidP="00AE6C31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депутатов</w:t>
            </w:r>
          </w:p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Имангуловский</w:t>
            </w:r>
            <w:proofErr w:type="spellEnd"/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 Октябрьского района</w:t>
            </w:r>
          </w:p>
          <w:p w:rsidR="00AE6C31" w:rsidRPr="00AE6C31" w:rsidRDefault="00AE6C31" w:rsidP="00AE6C31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пятого  созыва</w:t>
            </w:r>
          </w:p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D45" w:rsidRDefault="00AE6C31" w:rsidP="00AE6C31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</w:t>
            </w:r>
          </w:p>
          <w:p w:rsidR="00092D45" w:rsidRDefault="00092D45" w:rsidP="00AE6C31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E6C31" w:rsidRPr="00092D45" w:rsidRDefault="00AE6C31" w:rsidP="00092D45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2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 </w:t>
            </w:r>
            <w:r w:rsidR="00092D45" w:rsidRPr="00092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22 </w:t>
            </w:r>
            <w:r w:rsidRPr="00092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092D45" w:rsidRPr="00092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keepNext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C31" w:rsidRPr="00AE6C31" w:rsidTr="00D65821">
        <w:trPr>
          <w:cantSplit/>
          <w:trHeight w:val="4006"/>
        </w:trPr>
        <w:tc>
          <w:tcPr>
            <w:tcW w:w="4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31" w:rsidRPr="00842083" w:rsidRDefault="00AE6C31" w:rsidP="00842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AE6C31" w:rsidRPr="00AE6C31" w:rsidTr="00D65821">
        <w:trPr>
          <w:cantSplit/>
          <w:trHeight w:val="17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AE6C31" w:rsidRPr="00AE6C31" w:rsidTr="00D65821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C3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изменений в решение Совета депутатов муниципального образования </w:t>
            </w:r>
            <w:proofErr w:type="spellStart"/>
            <w:r w:rsidRPr="00AE6C31"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r w:rsidRPr="00AE6C3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Октябрьского района Оренбургской области от 27.11.2024 № 195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31" w:rsidRPr="00AE6C31" w:rsidRDefault="00AE6C31" w:rsidP="00AE6C3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E6C31" w:rsidRPr="00AE6C31" w:rsidRDefault="00A44124" w:rsidP="00AE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12,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>132 Конституции Российской Федерации, в соответствии с Федеральным законом от 20 марта 2025 г. N 33-ФЗ "Об общих принципах организации местного самоуправления в единой системе публичной власти", главы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руководствуясь Уставом муниципального образования </w:t>
      </w:r>
      <w:proofErr w:type="spellStart"/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Октябрьского района Оренбургской области, Совет депутатов муниципального образования </w:t>
      </w:r>
      <w:proofErr w:type="spellStart"/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Pr="00A4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Октябрьского района Оренбургской области решил:</w:t>
      </w:r>
    </w:p>
    <w:p w:rsidR="00AE6C31" w:rsidRDefault="00AE6C31" w:rsidP="00AE6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31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муниципального образования </w:t>
      </w:r>
      <w:proofErr w:type="spellStart"/>
      <w:r w:rsidRPr="00AE6C31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E6C31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от 27.11.2024 № 195 «О налоге на имущество физических лиц на территории муниципального образования </w:t>
      </w:r>
      <w:proofErr w:type="spellStart"/>
      <w:r w:rsidRPr="00AE6C31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AE6C31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области»,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E6C31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6C31">
        <w:rPr>
          <w:rFonts w:ascii="Times New Roman" w:hAnsi="Times New Roman" w:cs="Times New Roman"/>
          <w:sz w:val="28"/>
          <w:szCs w:val="28"/>
        </w:rPr>
        <w:t>:</w:t>
      </w:r>
    </w:p>
    <w:p w:rsidR="00A44124" w:rsidRPr="00326EA0" w:rsidRDefault="00A44124" w:rsidP="00A441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A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Подпункт 2 пункта 2</w:t>
      </w:r>
      <w:r w:rsidRPr="0032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326EA0">
        <w:rPr>
          <w:rFonts w:ascii="Times New Roman" w:hAnsi="Times New Roman" w:cs="Times New Roman"/>
          <w:sz w:val="28"/>
          <w:szCs w:val="28"/>
        </w:rPr>
        <w:t>, следующего содержания:</w:t>
      </w:r>
    </w:p>
    <w:p w:rsidR="00A44124" w:rsidRPr="00AE6C31" w:rsidRDefault="00A44124" w:rsidP="00A4412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FD">
        <w:rPr>
          <w:rFonts w:ascii="Times New Roman" w:hAnsi="Times New Roman" w:cs="Times New Roman"/>
          <w:sz w:val="28"/>
          <w:szCs w:val="28"/>
        </w:rPr>
        <w:t xml:space="preserve">«2) 2,0 процента  в отношении объектов налогообложения, включенных </w:t>
      </w:r>
      <w:r w:rsidRPr="00263EFD">
        <w:rPr>
          <w:rFonts w:ascii="Times New Roman" w:hAnsi="Times New Roman" w:cs="Times New Roman"/>
          <w:sz w:val="28"/>
          <w:szCs w:val="28"/>
        </w:rPr>
        <w:br/>
        <w:t>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Pr="00263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C31" w:rsidRPr="00326EA0" w:rsidRDefault="00AE6C31" w:rsidP="00AE6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A0">
        <w:rPr>
          <w:rFonts w:ascii="Times New Roman" w:hAnsi="Times New Roman" w:cs="Times New Roman"/>
          <w:sz w:val="28"/>
          <w:szCs w:val="28"/>
        </w:rPr>
        <w:t>1.</w:t>
      </w:r>
      <w:r w:rsidR="00A44124">
        <w:rPr>
          <w:rFonts w:ascii="Times New Roman" w:hAnsi="Times New Roman" w:cs="Times New Roman"/>
          <w:sz w:val="28"/>
          <w:szCs w:val="28"/>
        </w:rPr>
        <w:t>2</w:t>
      </w:r>
      <w:r w:rsidRPr="00326EA0">
        <w:rPr>
          <w:rFonts w:ascii="Times New Roman" w:hAnsi="Times New Roman" w:cs="Times New Roman"/>
          <w:sz w:val="28"/>
          <w:szCs w:val="28"/>
        </w:rPr>
        <w:t xml:space="preserve">. Пункт 3 </w:t>
      </w:r>
      <w:r w:rsidR="00326EA0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326EA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6C31" w:rsidRPr="00326EA0" w:rsidRDefault="00AE6C31" w:rsidP="00AE6C31">
      <w:pPr>
        <w:ind w:firstLine="709"/>
        <w:rPr>
          <w:rFonts w:ascii="Times New Roman" w:hAnsi="Times New Roman"/>
          <w:sz w:val="28"/>
          <w:szCs w:val="28"/>
        </w:rPr>
      </w:pPr>
      <w:r w:rsidRPr="00326EA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26EA0">
        <w:rPr>
          <w:rFonts w:ascii="Times New Roman" w:hAnsi="Times New Roman"/>
          <w:sz w:val="28"/>
          <w:szCs w:val="28"/>
        </w:rPr>
        <w:t>В соответствии  с абзацем 2 пункта 2 статьи 399 главы 32 Налогового кодекса освободить от уплаты налога:</w:t>
      </w:r>
    </w:p>
    <w:p w:rsidR="00AF04E3" w:rsidRPr="00326EA0" w:rsidRDefault="00AE6C31" w:rsidP="00AF0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EA0">
        <w:rPr>
          <w:rFonts w:ascii="Times New Roman" w:hAnsi="Times New Roman" w:cs="Times New Roman"/>
          <w:sz w:val="28"/>
          <w:szCs w:val="28"/>
        </w:rPr>
        <w:t>- членов добровольной народной дружины «</w:t>
      </w:r>
      <w:proofErr w:type="spellStart"/>
      <w:r w:rsidRPr="00326EA0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326EA0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proofErr w:type="spellStart"/>
      <w:r w:rsidRPr="00326EA0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326EA0">
        <w:rPr>
          <w:rFonts w:ascii="Times New Roman" w:hAnsi="Times New Roman" w:cs="Times New Roman"/>
          <w:sz w:val="28"/>
          <w:szCs w:val="28"/>
        </w:rPr>
        <w:t xml:space="preserve"> сельсовет Октябрьского района Оренбургской области  по охране общественного порядка в отношении только одного объекта налогообложения (жилого дома). Основанием для освобождения от уплаты налога является удостоверение дружинника.</w:t>
      </w:r>
    </w:p>
    <w:p w:rsidR="00AE6C31" w:rsidRPr="00AE6C31" w:rsidRDefault="00AE6C31" w:rsidP="00AE6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Разместить настоящее решение на официальном сайте муниципального образования </w:t>
      </w:r>
      <w:proofErr w:type="spellStart"/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информационно-телекоммуникационной сети Интернет.</w:t>
      </w:r>
    </w:p>
    <w:p w:rsidR="00AE6C31" w:rsidRPr="00AE6C31" w:rsidRDefault="00AE6C31" w:rsidP="00AE6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решения возложить на постоянную комиссию по бюджетной, налоговой и финансовой политике, собственности.</w:t>
      </w:r>
    </w:p>
    <w:p w:rsidR="000705D3" w:rsidRDefault="00326EA0" w:rsidP="00326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05D3" w:rsidRP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</w:t>
      </w:r>
      <w:r w:rsid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периода. За исключением пункта 1.2</w:t>
      </w:r>
      <w:r w:rsidR="000705D3" w:rsidRP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вступает в силу не ранее чем по истечении одного месяца со дня его официального опубликования в общественно-политической газете «Заря»</w:t>
      </w:r>
      <w:r w:rsid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5D3" w:rsidRP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01.01.2025г.</w:t>
      </w:r>
    </w:p>
    <w:p w:rsidR="00AE6C31" w:rsidRDefault="00AE6C31" w:rsidP="00AE6C31">
      <w:pPr>
        <w:spacing w:after="0" w:line="240" w:lineRule="auto"/>
        <w:ind w:left="72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D3" w:rsidRPr="00AE6C31" w:rsidRDefault="000705D3" w:rsidP="00AE6C31">
      <w:pPr>
        <w:spacing w:after="0" w:line="240" w:lineRule="auto"/>
        <w:ind w:left="72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</w:t>
      </w:r>
      <w:proofErr w:type="spellStart"/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А.М.Ишканов</w:t>
      </w:r>
      <w:proofErr w:type="spellEnd"/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</w:t>
      </w:r>
      <w:proofErr w:type="spellStart"/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А.А.Исанчурин</w:t>
      </w:r>
      <w:proofErr w:type="spellEnd"/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31" w:rsidRPr="00AE6C31" w:rsidRDefault="00AE6C31" w:rsidP="00AE6C31">
      <w:pPr>
        <w:suppressLineNumbers/>
        <w:suppressAutoHyphens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управлению по финансам и местным налогам, членам комиссии, прокуратуре</w:t>
      </w:r>
      <w:r w:rsid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налоговую</w:t>
      </w:r>
    </w:p>
    <w:p w:rsidR="009F0D2D" w:rsidRPr="00AE6C31" w:rsidRDefault="009F0D2D">
      <w:pPr>
        <w:rPr>
          <w:rFonts w:ascii="Times New Roman" w:hAnsi="Times New Roman" w:cs="Times New Roman"/>
          <w:sz w:val="28"/>
          <w:szCs w:val="28"/>
        </w:rPr>
      </w:pPr>
    </w:p>
    <w:sectPr w:rsidR="009F0D2D" w:rsidRPr="00AE6C31" w:rsidSect="00AE6C3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1D"/>
    <w:rsid w:val="000705D3"/>
    <w:rsid w:val="00092D45"/>
    <w:rsid w:val="00326EA0"/>
    <w:rsid w:val="0041581D"/>
    <w:rsid w:val="00842083"/>
    <w:rsid w:val="009F0D2D"/>
    <w:rsid w:val="00A44124"/>
    <w:rsid w:val="00AE6C31"/>
    <w:rsid w:val="00A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289F"/>
  <w15:docId w15:val="{96886B34-E757-4B1F-8806-173AB3D2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C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2026-03-05T10:47:00Z</dcterms:created>
  <dcterms:modified xsi:type="dcterms:W3CDTF">2026-03-13T07:42:00Z</dcterms:modified>
</cp:coreProperties>
</file>