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9"/>
      </w:tblGrid>
      <w:tr w:rsidR="00844FB8" w:rsidTr="00844FB8">
        <w:tc>
          <w:tcPr>
            <w:tcW w:w="3969" w:type="dxa"/>
            <w:tcMar>
              <w:top w:w="0" w:type="dxa"/>
              <w:left w:w="0" w:type="dxa"/>
              <w:bottom w:w="0" w:type="dxa"/>
              <w:right w:w="0" w:type="dxa"/>
            </w:tcMar>
            <w:vAlign w:val="center"/>
            <w:hideMark/>
          </w:tcPr>
          <w:p w:rsidR="00844FB8" w:rsidRDefault="00844FB8" w:rsidP="00E87CB2">
            <w:pPr>
              <w:tabs>
                <w:tab w:val="left" w:pos="3676"/>
              </w:tabs>
              <w:spacing w:before="120"/>
              <w:rPr>
                <w:rFonts w:ascii="Times New Roman" w:hAnsi="Times New Roman" w:cs="Times New Roman"/>
                <w:sz w:val="28"/>
                <w:szCs w:val="28"/>
              </w:rPr>
            </w:pPr>
          </w:p>
        </w:tc>
      </w:tr>
    </w:tbl>
    <w:p w:rsidR="003036BC" w:rsidRPr="003036BC" w:rsidRDefault="003036BC" w:rsidP="003036BC">
      <w:pPr>
        <w:autoSpaceDE w:val="0"/>
        <w:autoSpaceDN w:val="0"/>
        <w:adjustRightInd w:val="0"/>
        <w:spacing w:after="0" w:line="240" w:lineRule="auto"/>
        <w:ind w:firstLine="708"/>
        <w:jc w:val="center"/>
        <w:rPr>
          <w:rFonts w:ascii="Times New Roman" w:eastAsia="Times New Roman" w:hAnsi="Times New Roman" w:cs="Times New Roman"/>
          <w:bCs/>
          <w:sz w:val="28"/>
          <w:szCs w:val="28"/>
          <w:u w:val="single"/>
        </w:rPr>
      </w:pPr>
      <w:r w:rsidRPr="003036BC">
        <w:rPr>
          <w:rFonts w:ascii="Times New Roman" w:eastAsia="Times New Roman" w:hAnsi="Times New Roman" w:cs="Times New Roman"/>
          <w:sz w:val="28"/>
          <w:szCs w:val="28"/>
          <w:u w:val="single"/>
          <w:lang w:eastAsia="ru-RU"/>
        </w:rPr>
        <w:t>За кражу с банковской карты предусмотрена уголовная ответственность</w:t>
      </w:r>
    </w:p>
    <w:p w:rsidR="003036BC" w:rsidRPr="003036BC" w:rsidRDefault="003036BC" w:rsidP="003036BC">
      <w:pPr>
        <w:autoSpaceDE w:val="0"/>
        <w:autoSpaceDN w:val="0"/>
        <w:adjustRightInd w:val="0"/>
        <w:spacing w:after="0" w:line="240" w:lineRule="auto"/>
        <w:ind w:firstLine="708"/>
        <w:jc w:val="center"/>
        <w:rPr>
          <w:rFonts w:ascii="Times New Roman" w:eastAsia="Times New Roman" w:hAnsi="Times New Roman" w:cs="Times New Roman"/>
          <w:bCs/>
          <w:sz w:val="28"/>
          <w:szCs w:val="28"/>
        </w:rPr>
      </w:pPr>
    </w:p>
    <w:p w:rsidR="003036BC" w:rsidRPr="003036BC" w:rsidRDefault="003036BC" w:rsidP="003036BC">
      <w:pPr>
        <w:spacing w:after="0" w:line="240" w:lineRule="auto"/>
        <w:ind w:firstLine="708"/>
        <w:jc w:val="both"/>
        <w:rPr>
          <w:rFonts w:ascii="Times New Roman" w:eastAsia="Times New Roman" w:hAnsi="Times New Roman" w:cs="Times New Roman"/>
          <w:sz w:val="28"/>
          <w:szCs w:val="28"/>
        </w:rPr>
      </w:pPr>
      <w:r w:rsidRPr="003036BC">
        <w:rPr>
          <w:rFonts w:ascii="Times New Roman" w:eastAsia="Times New Roman" w:hAnsi="Times New Roman" w:cs="Times New Roman"/>
          <w:sz w:val="28"/>
          <w:szCs w:val="28"/>
        </w:rPr>
        <w:t>Найденная чужая банковская карта находкой не является, снятие денежных средств с найденной карты, либо оплата покупок с ее помощью, является преступлением.</w:t>
      </w:r>
    </w:p>
    <w:p w:rsidR="003036BC" w:rsidRPr="003036BC" w:rsidRDefault="003036BC" w:rsidP="003036BC">
      <w:pPr>
        <w:spacing w:after="0" w:line="240" w:lineRule="auto"/>
        <w:ind w:firstLine="708"/>
        <w:jc w:val="both"/>
        <w:rPr>
          <w:rFonts w:ascii="Times New Roman" w:eastAsia="Times New Roman" w:hAnsi="Times New Roman" w:cs="Times New Roman"/>
          <w:sz w:val="28"/>
          <w:szCs w:val="28"/>
        </w:rPr>
      </w:pPr>
      <w:r w:rsidRPr="003036BC">
        <w:rPr>
          <w:rFonts w:ascii="Times New Roman" w:eastAsia="Times New Roman" w:hAnsi="Times New Roman" w:cs="Times New Roman"/>
          <w:sz w:val="28"/>
          <w:szCs w:val="28"/>
        </w:rPr>
        <w:t>Уголовная ответственность за кражу с банковского счета, а также электронных денежных средств установлена п. «г» ч. 3 ст. 158 УК РФ. В качестве наказания за данное преступление предусмотрены штраф от 100 000 до 500 000 рублей, принудительные работы до 5 лет и лишение свободы на срок до 6 лет.</w:t>
      </w:r>
    </w:p>
    <w:p w:rsidR="003036BC" w:rsidRPr="003036BC" w:rsidRDefault="003036BC" w:rsidP="003036BC">
      <w:pPr>
        <w:spacing w:after="0" w:line="240" w:lineRule="auto"/>
        <w:ind w:firstLine="708"/>
        <w:jc w:val="both"/>
        <w:rPr>
          <w:rFonts w:ascii="Times New Roman" w:eastAsia="Times New Roman" w:hAnsi="Times New Roman" w:cs="Times New Roman"/>
          <w:sz w:val="28"/>
          <w:szCs w:val="28"/>
        </w:rPr>
      </w:pPr>
      <w:r w:rsidRPr="003036BC">
        <w:rPr>
          <w:rFonts w:ascii="Times New Roman" w:eastAsia="Times New Roman" w:hAnsi="Times New Roman" w:cs="Times New Roman"/>
          <w:sz w:val="28"/>
          <w:szCs w:val="28"/>
        </w:rPr>
        <w:t>В качестве дополнительного наказания могут быть назначены штраф и ограничения свободы.</w:t>
      </w:r>
    </w:p>
    <w:p w:rsidR="003036BC" w:rsidRPr="003036BC" w:rsidRDefault="003036BC" w:rsidP="003036BC">
      <w:pPr>
        <w:spacing w:after="0" w:line="240" w:lineRule="auto"/>
        <w:ind w:firstLine="708"/>
        <w:jc w:val="both"/>
        <w:rPr>
          <w:rFonts w:ascii="Times New Roman" w:eastAsia="Times New Roman" w:hAnsi="Times New Roman" w:cs="Times New Roman"/>
          <w:sz w:val="28"/>
          <w:szCs w:val="28"/>
        </w:rPr>
      </w:pPr>
      <w:r w:rsidRPr="003036BC">
        <w:rPr>
          <w:rFonts w:ascii="Times New Roman" w:eastAsia="Times New Roman" w:hAnsi="Times New Roman" w:cs="Times New Roman"/>
          <w:sz w:val="28"/>
          <w:szCs w:val="28"/>
        </w:rPr>
        <w:t>Уголовная ответственность наступает и за покушение на совершение хищения средств с банковского счета при помощи банковской карты. Например, когда совершить покупку не удалось, поскольку собственник банковской карты ее заблокировал.</w:t>
      </w:r>
    </w:p>
    <w:p w:rsidR="003036BC" w:rsidRPr="003036BC" w:rsidRDefault="003036BC" w:rsidP="003036BC">
      <w:pPr>
        <w:spacing w:after="0" w:line="240" w:lineRule="auto"/>
        <w:ind w:firstLine="708"/>
        <w:jc w:val="both"/>
        <w:rPr>
          <w:rFonts w:ascii="Times New Roman" w:eastAsia="Times New Roman" w:hAnsi="Times New Roman" w:cs="Times New Roman"/>
          <w:sz w:val="28"/>
          <w:szCs w:val="28"/>
        </w:rPr>
      </w:pPr>
      <w:r w:rsidRPr="003036BC">
        <w:rPr>
          <w:rFonts w:ascii="Times New Roman" w:eastAsia="Times New Roman" w:hAnsi="Times New Roman" w:cs="Times New Roman"/>
          <w:sz w:val="28"/>
          <w:szCs w:val="28"/>
        </w:rPr>
        <w:t>В отличие от обычного хищения чужого имущества, кража с банковской карты или банковского счета независимо от суммы похищенного является тяжким преступлением, следовательно, в соответствии с положениями ст. 25 УПК РФ уголовные дела о таких преступлениях не подлежат прекращению в связи с примирением с потерпевшим либо судебным штрафом.</w:t>
      </w:r>
    </w:p>
    <w:p w:rsidR="003036BC" w:rsidRPr="003036BC" w:rsidRDefault="003036BC" w:rsidP="003036BC">
      <w:pPr>
        <w:spacing w:after="0" w:line="240" w:lineRule="auto"/>
        <w:ind w:firstLine="708"/>
        <w:jc w:val="both"/>
        <w:rPr>
          <w:rFonts w:ascii="Times New Roman" w:eastAsia="Times New Roman" w:hAnsi="Times New Roman" w:cs="Times New Roman"/>
          <w:sz w:val="28"/>
          <w:szCs w:val="28"/>
          <w:lang w:eastAsia="ru-RU"/>
        </w:rPr>
      </w:pPr>
      <w:r w:rsidRPr="003036BC">
        <w:rPr>
          <w:rFonts w:ascii="Times New Roman" w:eastAsia="Times New Roman" w:hAnsi="Times New Roman" w:cs="Times New Roman"/>
          <w:sz w:val="28"/>
          <w:szCs w:val="28"/>
        </w:rPr>
        <w:t>Следует отметить, что совершение указанного деяния признается преступным независимо от суммы похищенных денежных средств.</w:t>
      </w:r>
    </w:p>
    <w:p w:rsidR="003036BC" w:rsidRDefault="003036BC" w:rsidP="00DE6611">
      <w:pPr>
        <w:tabs>
          <w:tab w:val="left" w:pos="2268"/>
          <w:tab w:val="left" w:pos="6804"/>
        </w:tabs>
        <w:spacing w:after="0" w:line="240" w:lineRule="auto"/>
        <w:rPr>
          <w:rFonts w:ascii="Times New Roman" w:hAnsi="Times New Roman" w:cs="Times New Roman"/>
          <w:sz w:val="20"/>
          <w:szCs w:val="20"/>
        </w:rPr>
      </w:pPr>
    </w:p>
    <w:p w:rsidR="003036BC" w:rsidRDefault="003036BC" w:rsidP="00DE6611">
      <w:pPr>
        <w:tabs>
          <w:tab w:val="left" w:pos="2268"/>
          <w:tab w:val="left" w:pos="6804"/>
        </w:tabs>
        <w:spacing w:after="0" w:line="240" w:lineRule="auto"/>
        <w:rPr>
          <w:rFonts w:ascii="Times New Roman" w:hAnsi="Times New Roman" w:cs="Times New Roman"/>
          <w:sz w:val="20"/>
          <w:szCs w:val="20"/>
        </w:rPr>
      </w:pPr>
    </w:p>
    <w:p w:rsidR="003036BC" w:rsidRPr="003036BC" w:rsidRDefault="003036BC" w:rsidP="003036BC">
      <w:pPr>
        <w:autoSpaceDE w:val="0"/>
        <w:autoSpaceDN w:val="0"/>
        <w:adjustRightInd w:val="0"/>
        <w:spacing w:after="0" w:line="240" w:lineRule="auto"/>
        <w:jc w:val="center"/>
        <w:rPr>
          <w:rFonts w:ascii="Times New Roman" w:eastAsia="Times New Roman" w:hAnsi="Times New Roman" w:cs="Times New Roman"/>
          <w:bCs/>
          <w:sz w:val="28"/>
          <w:szCs w:val="28"/>
          <w:u w:val="single"/>
        </w:rPr>
      </w:pPr>
      <w:bookmarkStart w:id="0" w:name="_Hlk97141502"/>
      <w:r w:rsidRPr="003036BC">
        <w:rPr>
          <w:rFonts w:ascii="Times New Roman" w:eastAsia="Times New Roman" w:hAnsi="Times New Roman" w:cs="Times New Roman"/>
          <w:sz w:val="28"/>
          <w:szCs w:val="28"/>
          <w:u w:val="single"/>
          <w:lang w:eastAsia="ru-RU"/>
        </w:rPr>
        <w:t>Публичное распространение заведомо ложной общественно значимой информации, повлекшее тяжкие последствия, карается законом</w:t>
      </w:r>
      <w:bookmarkEnd w:id="0"/>
    </w:p>
    <w:p w:rsidR="003036BC" w:rsidRPr="003036BC" w:rsidRDefault="003036BC" w:rsidP="003036BC">
      <w:pPr>
        <w:autoSpaceDE w:val="0"/>
        <w:autoSpaceDN w:val="0"/>
        <w:adjustRightInd w:val="0"/>
        <w:spacing w:after="0" w:line="240" w:lineRule="auto"/>
        <w:ind w:firstLine="708"/>
        <w:jc w:val="center"/>
        <w:rPr>
          <w:rFonts w:ascii="Times New Roman" w:eastAsia="Times New Roman" w:hAnsi="Times New Roman" w:cs="Times New Roman"/>
          <w:bCs/>
          <w:sz w:val="28"/>
          <w:szCs w:val="28"/>
        </w:rPr>
      </w:pP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Статьей 207.2 УК РФ предусмотрена уголовная ответственность за публичное распространение заведомо ложной общественно значимой информации, повлекшее тяжкие последствия.</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Одним из обязательных условий наступления ответственности по                     ст. 207.2 УК РФ является распространение заведомо ложной информации под видом достоверной. О придании ложной информации вида достоверной могут свидетельствовать, например, формы, способы ее изложения (ссылки на компетентные источники, высказывания публичных лиц и прочее), использование поддельных документов, видео- и аудиозаписей либо документов и записей, имеющих отношение к другим событиям.</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Ответственность по ст. 207.2 УК РФ возможна только в случае причинения вреда здоровью человека, его смерти либо наступления иных тяжких последствий, например, причинения крупного материального ущерба, создания паники среди населения и нарушение порядка.</w:t>
      </w:r>
    </w:p>
    <w:p w:rsidR="003036BC" w:rsidRPr="003036BC" w:rsidRDefault="003036BC" w:rsidP="003036BC">
      <w:pPr>
        <w:spacing w:after="0" w:line="240" w:lineRule="auto"/>
        <w:jc w:val="both"/>
        <w:rPr>
          <w:rFonts w:ascii="Times New Roman" w:eastAsia="Calibri" w:hAnsi="Times New Roman" w:cs="Times New Roman"/>
          <w:sz w:val="28"/>
        </w:rPr>
      </w:pPr>
      <w:r w:rsidRPr="003036BC">
        <w:rPr>
          <w:rFonts w:ascii="Times New Roman" w:eastAsia="Calibri" w:hAnsi="Times New Roman" w:cs="Times New Roman"/>
          <w:sz w:val="28"/>
        </w:rPr>
        <w:t xml:space="preserve"> </w:t>
      </w:r>
      <w:r w:rsidRPr="003036BC">
        <w:rPr>
          <w:rFonts w:ascii="Times New Roman" w:eastAsia="Calibri" w:hAnsi="Times New Roman" w:cs="Times New Roman"/>
          <w:sz w:val="28"/>
        </w:rPr>
        <w:tab/>
        <w:t xml:space="preserve">Указанное преступление, повлекшее по неосторожности причинение вреда здоровью человека (ч. 1 ст. 207.2 УК РФ), наказывается штрафом в размере от семисот тысяч до одного миллиона пятисот тысяч рублей или в размере </w:t>
      </w:r>
      <w:r w:rsidRPr="003036BC">
        <w:rPr>
          <w:rFonts w:ascii="Times New Roman" w:eastAsia="Calibri" w:hAnsi="Times New Roman" w:cs="Times New Roman"/>
          <w:sz w:val="28"/>
        </w:rPr>
        <w:lastRenderedPageBreak/>
        <w:t>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Ответственность за указанное деяние, повлекшее по неосторожности смерть человека или иные тяжкие последствия, предусмотрена ч. 2 ст. 207.2 УК РФ, 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3036BC" w:rsidRDefault="003036BC" w:rsidP="00DE6611">
      <w:pPr>
        <w:tabs>
          <w:tab w:val="left" w:pos="2268"/>
          <w:tab w:val="left" w:pos="6804"/>
        </w:tabs>
        <w:spacing w:after="0" w:line="240" w:lineRule="auto"/>
        <w:rPr>
          <w:rFonts w:ascii="Times New Roman" w:hAnsi="Times New Roman" w:cs="Times New Roman"/>
          <w:sz w:val="20"/>
          <w:szCs w:val="20"/>
        </w:rPr>
      </w:pPr>
    </w:p>
    <w:p w:rsidR="003036BC" w:rsidRDefault="003036BC" w:rsidP="00DE6611">
      <w:pPr>
        <w:tabs>
          <w:tab w:val="left" w:pos="2268"/>
          <w:tab w:val="left" w:pos="6804"/>
        </w:tabs>
        <w:spacing w:after="0" w:line="240" w:lineRule="auto"/>
        <w:rPr>
          <w:rFonts w:ascii="Times New Roman" w:hAnsi="Times New Roman" w:cs="Times New Roman"/>
          <w:sz w:val="20"/>
          <w:szCs w:val="20"/>
        </w:rPr>
      </w:pPr>
    </w:p>
    <w:p w:rsidR="003036BC" w:rsidRPr="003036BC" w:rsidRDefault="003036BC" w:rsidP="003036BC">
      <w:pPr>
        <w:autoSpaceDE w:val="0"/>
        <w:autoSpaceDN w:val="0"/>
        <w:adjustRightInd w:val="0"/>
        <w:spacing w:after="0" w:line="240" w:lineRule="auto"/>
        <w:jc w:val="center"/>
        <w:rPr>
          <w:rFonts w:ascii="Times New Roman" w:eastAsia="Times New Roman" w:hAnsi="Times New Roman" w:cs="Times New Roman"/>
          <w:bCs/>
          <w:sz w:val="28"/>
          <w:szCs w:val="28"/>
          <w:u w:val="single"/>
          <w:lang w:eastAsia="ru-RU"/>
        </w:rPr>
      </w:pPr>
      <w:r w:rsidRPr="003036BC">
        <w:rPr>
          <w:rFonts w:ascii="Times New Roman" w:eastAsia="Times New Roman" w:hAnsi="Times New Roman" w:cs="Times New Roman"/>
          <w:bCs/>
          <w:sz w:val="28"/>
          <w:szCs w:val="28"/>
          <w:u w:val="single"/>
          <w:lang w:eastAsia="ru-RU"/>
        </w:rPr>
        <w:t>Ответственность за употребление алкоголя несовершеннолетними</w:t>
      </w:r>
    </w:p>
    <w:p w:rsidR="003036BC" w:rsidRPr="003036BC" w:rsidRDefault="003036BC" w:rsidP="000A7857">
      <w:pPr>
        <w:autoSpaceDE w:val="0"/>
        <w:autoSpaceDN w:val="0"/>
        <w:adjustRightInd w:val="0"/>
        <w:spacing w:after="0" w:line="240" w:lineRule="auto"/>
        <w:rPr>
          <w:rFonts w:ascii="Times New Roman" w:eastAsia="Times New Roman" w:hAnsi="Times New Roman" w:cs="Times New Roman"/>
          <w:bCs/>
          <w:sz w:val="28"/>
          <w:szCs w:val="28"/>
        </w:rPr>
      </w:pP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В преддверии последних звонков и выпускных вечеров прокуратура района напоминает, что законодательством Российской Федерации установлен запрет к потреблению алкогольной продукции несовершеннолетними (п. 3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Кодексом Российской Федерации об административных правонарушениях (далее КоАП РФ) предусмотрена ответственность за нарушение данного запрета.</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Как правило, к моменту окончания школы большинство выпускников ещё не достигает возраста 18 лет. Однако, распространена ситуация, когда, готовясь к празднованию окончания школы, некоторые родители сами приобретают спиртные напитки для таких мероприятий.</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В соответствии со ст. 2.3. КоАП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В случае нахождения в состоянии опьянения несовершеннолетних в возрасте до шестнадцати лет, либо распитие ими алкогольной и спиртосодержащей продукции к административной ответственности, в соответствии со ст. 20.22. КоАП РФ, привлекаются родители (законные представители), на которых может быть наложен штраф в размере от 1500 до 2000 тысяч рублей.</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Появление лиц, достигших 16 лет,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влечёт наложение штрафа в размере от 500 до 1500 рублей или административный арест на срок до 15 суток (ст. 20.21 КоАП РФ).</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 xml:space="preserve">Для лиц, достигших 16 лет, установлена административная ответственность в виде штрафа от 500 до 1500 рублей за распитие алкогольной продукции в местах, запрещенных федеральным законом (в детских, образовательных и медицинских организациях, на всех видах общественного транспорта, в </w:t>
      </w:r>
      <w:r w:rsidRPr="003036BC">
        <w:rPr>
          <w:rFonts w:ascii="Times New Roman" w:eastAsia="Calibri" w:hAnsi="Times New Roman" w:cs="Times New Roman"/>
          <w:sz w:val="28"/>
        </w:rPr>
        <w:lastRenderedPageBreak/>
        <w:t>организациях культуры, физкультурно- оздоровительных и спортивных сооружениях и т.д.) (ч. 1 ст. 20.20 КоАП РФ).</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В силу ст. 6.10 КоАП РФ вовлечение несовершеннолетнего в употребление алкогольной и спиртосодержащей продукции влечет наложение административного штрафа в размере от 1500 до 3000 рублей. Те же действия, совершенные родителями или иными законными представителями несовершеннолетних, влекут наложение административного штрафа в размере от 4000 до 5000 рублей.</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Стоит отметить, что дела об административных правонарушениях, совершенных несовершеннолетними, а также дела об административных правонарушениях, предусмотренных ст. 20.22 КоАП РФ рассматривают комиссии по делам несовершеннолетних и защите их прав по месту жительства правонарушителя, которые наряду с назначением административного наказания, предусмотренного КоАП РФ, вправе принять к подростку и его родителям (законным представителям) меры профилактического характера в соответствии с Федеральным законом от 24.06.1999 № 120-ФЗ «Об основах системы профилактики безнадзорности и правонарушений несовершеннолетних».</w:t>
      </w:r>
    </w:p>
    <w:p w:rsidR="003036BC" w:rsidRDefault="003036BC" w:rsidP="00DE6611">
      <w:pPr>
        <w:tabs>
          <w:tab w:val="left" w:pos="2268"/>
          <w:tab w:val="left" w:pos="6804"/>
        </w:tabs>
        <w:spacing w:after="0" w:line="240" w:lineRule="auto"/>
        <w:rPr>
          <w:rFonts w:ascii="Times New Roman" w:hAnsi="Times New Roman" w:cs="Times New Roman"/>
          <w:sz w:val="20"/>
          <w:szCs w:val="20"/>
        </w:rPr>
      </w:pPr>
    </w:p>
    <w:p w:rsidR="003036BC" w:rsidRDefault="003036BC" w:rsidP="00DE6611">
      <w:pPr>
        <w:tabs>
          <w:tab w:val="left" w:pos="2268"/>
          <w:tab w:val="left" w:pos="6804"/>
        </w:tabs>
        <w:spacing w:after="0" w:line="240" w:lineRule="auto"/>
        <w:rPr>
          <w:rFonts w:ascii="Times New Roman" w:hAnsi="Times New Roman" w:cs="Times New Roman"/>
          <w:sz w:val="20"/>
          <w:szCs w:val="20"/>
        </w:rPr>
      </w:pPr>
    </w:p>
    <w:p w:rsidR="003036BC" w:rsidRPr="003036BC" w:rsidRDefault="003036BC" w:rsidP="003036BC">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3036BC">
        <w:rPr>
          <w:rFonts w:ascii="Times New Roman" w:eastAsia="Times New Roman" w:hAnsi="Times New Roman" w:cs="Times New Roman"/>
          <w:bCs/>
          <w:sz w:val="28"/>
          <w:szCs w:val="28"/>
          <w:u w:val="single"/>
          <w:lang w:eastAsia="ru-RU"/>
        </w:rPr>
        <w:t>Ответственность за распространение экстремистских материалов</w:t>
      </w:r>
    </w:p>
    <w:p w:rsidR="003036BC" w:rsidRPr="003036BC" w:rsidRDefault="003036BC" w:rsidP="003036BC">
      <w:pPr>
        <w:autoSpaceDE w:val="0"/>
        <w:autoSpaceDN w:val="0"/>
        <w:adjustRightInd w:val="0"/>
        <w:spacing w:after="0" w:line="240" w:lineRule="auto"/>
        <w:ind w:firstLine="708"/>
        <w:jc w:val="center"/>
        <w:rPr>
          <w:rFonts w:ascii="Times New Roman" w:eastAsia="Times New Roman" w:hAnsi="Times New Roman" w:cs="Times New Roman"/>
          <w:bCs/>
          <w:sz w:val="28"/>
          <w:szCs w:val="28"/>
        </w:rPr>
      </w:pP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Федеральным законом № 114-ФЗ от 25.07.2022 «О противодействии экстремистской деятельности» определено, что экстремистскими материалами являются предназначенные для обнародования документы либо информация на иных носителях (в том числе в сети «Интернет»), призывающие к осуществлению экстремистской деятельности либо обосновывающие или оправдывающие необходимость осуществления такой деятельности,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Так, предусмотрена административная ответственность за массовое распространение признанных запрещенными экстремистских материалов;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(ст.ст. 20.3, 20.29, 20.3.1 КоАП РФ).</w:t>
      </w:r>
    </w:p>
    <w:p w:rsid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 xml:space="preserve">Уголовная ответственность предусмотрена за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w:t>
      </w:r>
      <w:r w:rsidRPr="003036BC">
        <w:rPr>
          <w:rFonts w:ascii="Times New Roman" w:eastAsia="Calibri" w:hAnsi="Times New Roman" w:cs="Times New Roman"/>
          <w:sz w:val="28"/>
        </w:rPr>
        <w:lastRenderedPageBreak/>
        <w:t>экстремистского сообщества; организация деятельности экстремистской организации» (ст.ст. 280, 282, 282.1, 282.2 УК РФ).</w:t>
      </w:r>
    </w:p>
    <w:p w:rsidR="003036BC" w:rsidRDefault="003036BC" w:rsidP="003036BC">
      <w:pPr>
        <w:spacing w:after="0" w:line="240" w:lineRule="auto"/>
        <w:ind w:firstLine="708"/>
        <w:jc w:val="both"/>
        <w:rPr>
          <w:rFonts w:ascii="Times New Roman" w:eastAsia="Calibri" w:hAnsi="Times New Roman" w:cs="Times New Roman"/>
          <w:sz w:val="28"/>
        </w:rPr>
      </w:pPr>
    </w:p>
    <w:p w:rsidR="003036BC" w:rsidRPr="000A7857" w:rsidRDefault="003036BC" w:rsidP="000A7857">
      <w:pPr>
        <w:spacing w:after="0" w:line="240" w:lineRule="auto"/>
        <w:ind w:firstLine="708"/>
        <w:jc w:val="center"/>
        <w:rPr>
          <w:rFonts w:ascii="Times New Roman" w:eastAsia="Calibri" w:hAnsi="Times New Roman" w:cs="Times New Roman"/>
          <w:sz w:val="28"/>
          <w:u w:val="single"/>
        </w:rPr>
      </w:pPr>
      <w:r w:rsidRPr="000A7857">
        <w:rPr>
          <w:rFonts w:ascii="Times New Roman" w:eastAsia="Calibri" w:hAnsi="Times New Roman" w:cs="Times New Roman"/>
          <w:sz w:val="28"/>
          <w:u w:val="single"/>
        </w:rPr>
        <w:t>Обновлены правила обязательного страхования гражданской ответственности владельцев транспортных средств</w:t>
      </w:r>
    </w:p>
    <w:p w:rsidR="000A7857" w:rsidRPr="003036BC" w:rsidRDefault="000A7857" w:rsidP="000A7857">
      <w:pPr>
        <w:spacing w:after="0" w:line="240" w:lineRule="auto"/>
        <w:ind w:firstLine="708"/>
        <w:jc w:val="center"/>
        <w:rPr>
          <w:rFonts w:ascii="Times New Roman" w:eastAsia="Calibri" w:hAnsi="Times New Roman" w:cs="Times New Roman"/>
          <w:sz w:val="28"/>
        </w:rPr>
      </w:pP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Внесение поправок обусловлено в том числе принятием Федерального закона от 14.07.2022 N 327-ФЗ "О внесении изменений в отдельные законодательные акты Российской Федерации", которым внедряется полностью удаленное электронное взаимодействие между потерпевшим и страховщиком во всех обязательных видах имущественного страхования.</w:t>
      </w:r>
    </w:p>
    <w:p w:rsidR="003036BC" w:rsidRPr="003036BC" w:rsidRDefault="003036BC" w:rsidP="003036BC">
      <w:pPr>
        <w:spacing w:after="0" w:line="240" w:lineRule="auto"/>
        <w:ind w:firstLine="708"/>
        <w:jc w:val="both"/>
        <w:rPr>
          <w:rFonts w:ascii="Times New Roman" w:eastAsia="Calibri" w:hAnsi="Times New Roman" w:cs="Times New Roman"/>
          <w:sz w:val="28"/>
        </w:rPr>
      </w:pPr>
      <w:r w:rsidRPr="003036BC">
        <w:rPr>
          <w:rFonts w:ascii="Times New Roman" w:eastAsia="Calibri" w:hAnsi="Times New Roman" w:cs="Times New Roman"/>
          <w:sz w:val="28"/>
        </w:rPr>
        <w:t>Кроме того, в том числе в новой редакции изложена форма страхового полиса. При этом бланки страховых полисов старого образца могут использоваться страховщиками до 31 декабря 2023 года.</w:t>
      </w:r>
    </w:p>
    <w:p w:rsidR="003036BC" w:rsidRDefault="003036BC" w:rsidP="00DE6611">
      <w:pPr>
        <w:tabs>
          <w:tab w:val="left" w:pos="2268"/>
          <w:tab w:val="left" w:pos="6804"/>
        </w:tabs>
        <w:spacing w:after="0" w:line="240" w:lineRule="auto"/>
        <w:rPr>
          <w:rFonts w:ascii="Times New Roman" w:hAnsi="Times New Roman" w:cs="Times New Roman"/>
          <w:sz w:val="20"/>
          <w:szCs w:val="20"/>
        </w:rPr>
      </w:pPr>
    </w:p>
    <w:p w:rsidR="003036BC" w:rsidRDefault="003036BC" w:rsidP="00DE6611">
      <w:pPr>
        <w:tabs>
          <w:tab w:val="left" w:pos="2268"/>
          <w:tab w:val="left" w:pos="6804"/>
        </w:tabs>
        <w:spacing w:after="0" w:line="240" w:lineRule="auto"/>
        <w:rPr>
          <w:rFonts w:ascii="Times New Roman" w:hAnsi="Times New Roman" w:cs="Times New Roman"/>
          <w:sz w:val="20"/>
          <w:szCs w:val="20"/>
        </w:rPr>
      </w:pPr>
    </w:p>
    <w:p w:rsidR="000A7857" w:rsidRPr="000A7857" w:rsidRDefault="000A7857" w:rsidP="000A7857">
      <w:pPr>
        <w:tabs>
          <w:tab w:val="left" w:pos="2268"/>
          <w:tab w:val="left" w:pos="6804"/>
        </w:tabs>
        <w:spacing w:after="0" w:line="240" w:lineRule="auto"/>
        <w:jc w:val="center"/>
        <w:rPr>
          <w:rFonts w:ascii="Times New Roman" w:hAnsi="Times New Roman" w:cs="Times New Roman"/>
          <w:sz w:val="28"/>
          <w:szCs w:val="28"/>
          <w:u w:val="single"/>
        </w:rPr>
      </w:pPr>
      <w:r w:rsidRPr="000A7857">
        <w:rPr>
          <w:rFonts w:ascii="Times New Roman" w:hAnsi="Times New Roman" w:cs="Times New Roman"/>
          <w:sz w:val="28"/>
          <w:szCs w:val="28"/>
          <w:u w:val="single"/>
        </w:rPr>
        <w:t>Даны разъяснения по вопросу совершения учетно-регистрационных действий при разделе без осуществления реконструкции и иных строительных работ таких линейных объектов, как "автомобильная дорога"</w:t>
      </w:r>
    </w:p>
    <w:p w:rsidR="000A7857" w:rsidRPr="000A7857" w:rsidRDefault="000A7857" w:rsidP="000A7857">
      <w:pPr>
        <w:tabs>
          <w:tab w:val="left" w:pos="2268"/>
          <w:tab w:val="left" w:pos="6804"/>
        </w:tabs>
        <w:spacing w:after="0" w:line="240" w:lineRule="auto"/>
        <w:jc w:val="center"/>
        <w:rPr>
          <w:rFonts w:ascii="Times New Roman" w:hAnsi="Times New Roman" w:cs="Times New Roman"/>
          <w:sz w:val="28"/>
          <w:szCs w:val="28"/>
        </w:rPr>
      </w:pP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В случае, если раздел автомобильной дороги осуществляется без проведения ее реконструкции, а образуемые в результате раздела объекты имеют тот же класс, категорию, первоначально установленные показатели функционирования автомобильной дороги (грузоподъемность, мощность), что и подлежащая разделу автомобильная дорога, в целях осуществления государственного кадастрового учета и государственной регистрации прав на образуемые в результате раздела автомобильные дороги необходимость предоставления разрешения на ввод объекта в эксплуатацию отсутствует.</w:t>
      </w: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При этом образуемые в результате раздела объекты недвижимости должны иметь возможность эксплуатироваться автономно, то есть независимо от иных образуемых объектов. Образуемые объекты недвижимости после их постановки на государственный кадастровый учет и государственной регистрации права собственности на них становятся самостоятельными объектами гражданских прав.</w:t>
      </w:r>
    </w:p>
    <w:p w:rsidR="003036BC"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Государственный кадастровый учет и государственная регистрация прав в отношении автомобильных дорог, образуемых путем раздела существующей автомобильной дороги, не связанного с ее реконструкцией, могут быть осуществлены на основании заявления собственника автомобильной дороги и технического плана, подготовленного кадастровым инженером с использованием проектной документации линейного объекта, на основании которой осуществлено строительство исходной автомобильной дороги (при ее наличии), или декларации об объекте недвижимости (при отсутствии проектной документации в отношении исходной автомобильной дороги).</w:t>
      </w:r>
    </w:p>
    <w:p w:rsidR="000A7857" w:rsidRDefault="000A7857" w:rsidP="000A7857">
      <w:pPr>
        <w:tabs>
          <w:tab w:val="left" w:pos="2268"/>
          <w:tab w:val="left" w:pos="6804"/>
        </w:tabs>
        <w:spacing w:after="0" w:line="240" w:lineRule="auto"/>
        <w:jc w:val="both"/>
        <w:rPr>
          <w:rFonts w:ascii="Times New Roman" w:hAnsi="Times New Roman" w:cs="Times New Roman"/>
          <w:sz w:val="28"/>
          <w:szCs w:val="28"/>
        </w:rPr>
      </w:pPr>
    </w:p>
    <w:p w:rsidR="000A7857" w:rsidRPr="000A7857" w:rsidRDefault="000A7857" w:rsidP="000A7857">
      <w:pPr>
        <w:tabs>
          <w:tab w:val="left" w:pos="2268"/>
          <w:tab w:val="left" w:pos="6804"/>
        </w:tabs>
        <w:spacing w:after="0" w:line="240" w:lineRule="auto"/>
        <w:jc w:val="center"/>
        <w:rPr>
          <w:rFonts w:ascii="Times New Roman" w:hAnsi="Times New Roman" w:cs="Times New Roman"/>
          <w:sz w:val="28"/>
          <w:szCs w:val="28"/>
          <w:u w:val="single"/>
        </w:rPr>
      </w:pPr>
      <w:r w:rsidRPr="000A7857">
        <w:rPr>
          <w:rFonts w:ascii="Times New Roman" w:hAnsi="Times New Roman" w:cs="Times New Roman"/>
          <w:sz w:val="28"/>
          <w:szCs w:val="28"/>
          <w:u w:val="single"/>
        </w:rPr>
        <w:t>Принят закон о гаражных объединениях</w:t>
      </w:r>
    </w:p>
    <w:p w:rsidR="000A7857" w:rsidRPr="000A7857" w:rsidRDefault="000A7857" w:rsidP="000A7857">
      <w:pPr>
        <w:tabs>
          <w:tab w:val="left" w:pos="2268"/>
          <w:tab w:val="left" w:pos="6804"/>
        </w:tabs>
        <w:spacing w:after="0" w:line="240" w:lineRule="auto"/>
        <w:jc w:val="center"/>
        <w:rPr>
          <w:rFonts w:ascii="Times New Roman" w:hAnsi="Times New Roman" w:cs="Times New Roman"/>
          <w:sz w:val="28"/>
          <w:szCs w:val="28"/>
        </w:rPr>
      </w:pP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Федеральн</w:t>
      </w:r>
      <w:r>
        <w:rPr>
          <w:rFonts w:ascii="Times New Roman" w:hAnsi="Times New Roman" w:cs="Times New Roman"/>
          <w:sz w:val="28"/>
          <w:szCs w:val="28"/>
        </w:rPr>
        <w:t xml:space="preserve">ый </w:t>
      </w:r>
      <w:r w:rsidRPr="000A7857">
        <w:rPr>
          <w:rFonts w:ascii="Times New Roman" w:hAnsi="Times New Roman" w:cs="Times New Roman"/>
          <w:sz w:val="28"/>
          <w:szCs w:val="28"/>
        </w:rPr>
        <w:t xml:space="preserve">закон </w:t>
      </w:r>
      <w:r>
        <w:rPr>
          <w:rFonts w:ascii="Times New Roman" w:hAnsi="Times New Roman" w:cs="Times New Roman"/>
          <w:sz w:val="28"/>
          <w:szCs w:val="28"/>
        </w:rPr>
        <w:t>№</w:t>
      </w:r>
      <w:r w:rsidRPr="000A7857">
        <w:rPr>
          <w:rFonts w:ascii="Times New Roman" w:hAnsi="Times New Roman" w:cs="Times New Roman"/>
          <w:sz w:val="28"/>
          <w:szCs w:val="28"/>
        </w:rPr>
        <w:t xml:space="preserve"> 1192708-7 </w:t>
      </w:r>
      <w:r>
        <w:rPr>
          <w:rFonts w:ascii="Times New Roman" w:hAnsi="Times New Roman" w:cs="Times New Roman"/>
          <w:sz w:val="28"/>
          <w:szCs w:val="28"/>
        </w:rPr>
        <w:t>«</w:t>
      </w:r>
      <w:r w:rsidRPr="000A7857">
        <w:rPr>
          <w:rFonts w:ascii="Times New Roman" w:hAnsi="Times New Roman" w:cs="Times New Roman"/>
          <w:sz w:val="28"/>
          <w:szCs w:val="28"/>
        </w:rPr>
        <w:t>О гаражных объединениях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A7857">
        <w:rPr>
          <w:rFonts w:ascii="Times New Roman" w:hAnsi="Times New Roman" w:cs="Times New Roman"/>
          <w:sz w:val="28"/>
          <w:szCs w:val="28"/>
        </w:rPr>
        <w:t xml:space="preserve"> принят ГД ФС РФ 13.07.2023</w:t>
      </w:r>
      <w:r>
        <w:rPr>
          <w:rFonts w:ascii="Times New Roman" w:hAnsi="Times New Roman" w:cs="Times New Roman"/>
          <w:sz w:val="28"/>
          <w:szCs w:val="28"/>
        </w:rPr>
        <w:t>.</w:t>
      </w: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В частности, документом вводятся такие понятия, как гаражный комплекс, гараж и территория гаражного назначения.</w:t>
      </w: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Закреплены положения о праве общей долевой собственности собственников гаражей на общее имущество в границах территории гаражного назначения, и определен состав общего имущества в границах территории гаражного назначения. Также установлены право общей долевой собственности собственников машино-мест, нежилых помещений на общее имущество в гаражном комплексе и состав общего имущества в гаражном комплексе.</w:t>
      </w: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К общему имуществу в границах территории гаражного назначения относятся в том числе объекты, предназначенные для общего пользования и составляющие общую инфраструктуру территории гаражного назначения (пешеходные переходы, ворота, ограждения, котельные, технические площадки и площадки для размещения контейнеров для сбора твердых коммунальных отходов). К общему имуществу в гаражном комплексе - технические этажи, чердаки, технические подвалы, лестничные площадки, лестницы, лифты, лифтовые и иные шахты, коридоры и др.</w:t>
      </w: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Документом определены особенности управления общим имуществом в границах территории гаражного назначения и в гаражном комплексе, проведения общего собрания собственников гаражей и общего собрания собственников машино-мест, а также вопросы, относящиеся к их компетенции.</w:t>
      </w:r>
    </w:p>
    <w:p w:rsid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Предусмотрено, что в целях совместного владения, пользования и распоряжения имуществом, находящимся в общей собственности или в общем пользовании собственников гаражей в границах территории гаражного назначения, либо собственников машино-мест, нежилых помещений, расположенных в гаражных комплексах, совместного управления таким имуществом и обеспечения его содержания создаются товарищества собственников недвижимости.</w:t>
      </w:r>
    </w:p>
    <w:p w:rsidR="000A7857" w:rsidRDefault="000A7857" w:rsidP="000A7857">
      <w:pPr>
        <w:tabs>
          <w:tab w:val="left" w:pos="2268"/>
          <w:tab w:val="left" w:pos="6804"/>
        </w:tabs>
        <w:spacing w:after="0" w:line="240" w:lineRule="auto"/>
        <w:jc w:val="both"/>
        <w:rPr>
          <w:rFonts w:ascii="Times New Roman" w:hAnsi="Times New Roman" w:cs="Times New Roman"/>
          <w:sz w:val="28"/>
          <w:szCs w:val="28"/>
        </w:rPr>
      </w:pPr>
    </w:p>
    <w:p w:rsidR="000A7857" w:rsidRPr="000A7857" w:rsidRDefault="000A7857" w:rsidP="000A7857">
      <w:pPr>
        <w:tabs>
          <w:tab w:val="left" w:pos="2268"/>
          <w:tab w:val="left" w:pos="6804"/>
        </w:tabs>
        <w:spacing w:after="0" w:line="240" w:lineRule="auto"/>
        <w:jc w:val="center"/>
        <w:rPr>
          <w:rFonts w:ascii="Times New Roman" w:hAnsi="Times New Roman" w:cs="Times New Roman"/>
          <w:sz w:val="28"/>
          <w:szCs w:val="28"/>
          <w:u w:val="single"/>
        </w:rPr>
      </w:pPr>
      <w:r w:rsidRPr="000A7857">
        <w:rPr>
          <w:rFonts w:ascii="Times New Roman" w:hAnsi="Times New Roman" w:cs="Times New Roman"/>
          <w:sz w:val="28"/>
          <w:szCs w:val="28"/>
          <w:u w:val="single"/>
        </w:rPr>
        <w:t>КС РФ разрешил взыскивать проценты за несвоевременную выплату уполномоченными государственными органами вознаграждения адвокату, участвующему в уголовном деле по назначению</w:t>
      </w:r>
    </w:p>
    <w:p w:rsidR="000A7857" w:rsidRPr="000A7857" w:rsidRDefault="000A7857" w:rsidP="000A7857">
      <w:pPr>
        <w:tabs>
          <w:tab w:val="left" w:pos="2268"/>
          <w:tab w:val="left" w:pos="6804"/>
        </w:tabs>
        <w:spacing w:after="0" w:line="240" w:lineRule="auto"/>
        <w:jc w:val="center"/>
        <w:rPr>
          <w:rFonts w:ascii="Times New Roman" w:hAnsi="Times New Roman" w:cs="Times New Roman"/>
          <w:sz w:val="28"/>
          <w:szCs w:val="28"/>
        </w:rPr>
      </w:pP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Постановление Конституционного Суда РФ от 12.07.2023 N 39-П"По делу о проверке конституционности пункта 3 статьи 2, подпункта 2 пункта 1 статьи 8, пункта 2 статьи 307 и пункта 1 статьи 395 Гражданского кодекса Российской Федерации в связи с жалобой гражданина В.Г. Михайлика"</w:t>
      </w: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Труд адвоката, участвующего в деле по назначению органов предварительного расследования или суда, оплачивается за счет средств федерального бюджета в размере и по правилам, которые закреплены постановлением Правительства от 1 декабря 2012 года N 1240.</w:t>
      </w: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7857">
        <w:rPr>
          <w:rFonts w:ascii="Times New Roman" w:hAnsi="Times New Roman" w:cs="Times New Roman"/>
          <w:sz w:val="28"/>
          <w:szCs w:val="28"/>
        </w:rPr>
        <w:t>Отмечено, что в случае участия адвоката в уголовном деле в качестве защитника по назначению единственным способом защиты его права на получение вознаграждения за счет средств федерального бюджета служит требование о взыскании основного долга. Из сложившейся правоприменительной практики следует, что адвокат лишен права на возмещение возникших из-за этого экономических потерь в упрощенном порядке и вынужден доказывать возникновение у него убытков в результате просрочки выплаты вознаграждения, допущенной публичным субъектом.</w:t>
      </w: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Как в случае оказания адвокатом услуг по соглашению, так и в случае оказания услуг адвокатом по назначению вознаграждение имеет - несмотря на разные источники его выплаты и разные условия определения его размера - схожие цели оплаты затраченного на оказание услуг труда, а его несвоевременная оплата уполномоченным государственным органом влечет причинение убытков адвокату в результате такого бездействия. Таким образом, в отсутствие специальных нормативных положений об ответственности уполномоченных государственных органов за несвоевременную выплату вознаграждения адвокату по назначению, не может исключаться применение для целей привлечения к ответственности пункта 1 статьи 395 ГК РФ.</w:t>
      </w:r>
    </w:p>
    <w:p w:rsidR="000A7857" w:rsidRPr="000A7857" w:rsidRDefault="000A7857" w:rsidP="000A7857">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A7857">
        <w:rPr>
          <w:rFonts w:ascii="Times New Roman" w:hAnsi="Times New Roman" w:cs="Times New Roman"/>
          <w:sz w:val="28"/>
          <w:szCs w:val="28"/>
        </w:rPr>
        <w:t>Пункт 1 статьи 395 ГК РФ в нормативном единстве с пунктом 3 статьи 2, подпунктом 2 пункта 1 статьи 8 и пунктом 2 статьи 307 ГК РФ не могут выступать в качестве основания для отказа в удовлетворении требования адвоката, участвовавшего в уголовном деле по назначению, о взыскании процентов за несвоевременную выплату уполномоченными государственными органами вознаграждения за такое участие.</w:t>
      </w:r>
    </w:p>
    <w:p w:rsidR="000A7857" w:rsidRDefault="000A7857" w:rsidP="000A7857">
      <w:pPr>
        <w:tabs>
          <w:tab w:val="left" w:pos="2268"/>
          <w:tab w:val="left" w:pos="6804"/>
        </w:tabs>
        <w:spacing w:after="0" w:line="240" w:lineRule="auto"/>
        <w:jc w:val="both"/>
        <w:rPr>
          <w:rFonts w:ascii="Times New Roman" w:hAnsi="Times New Roman" w:cs="Times New Roman"/>
          <w:sz w:val="28"/>
          <w:szCs w:val="28"/>
        </w:rPr>
      </w:pPr>
      <w:r w:rsidRPr="000A7857">
        <w:rPr>
          <w:rFonts w:ascii="Times New Roman" w:hAnsi="Times New Roman" w:cs="Times New Roman"/>
          <w:sz w:val="28"/>
          <w:szCs w:val="28"/>
        </w:rPr>
        <w:t>Федеральный законодатель не лишен возможности установить специальное правовое регулирование возмещения убытков (финансовых потерь), обусловленных просрочкой выплаты вознаграждения адвокату, участвовавшему в уголовном деле по назначению.</w:t>
      </w:r>
    </w:p>
    <w:p w:rsidR="00F239C0" w:rsidRDefault="00F239C0" w:rsidP="000A7857">
      <w:pPr>
        <w:tabs>
          <w:tab w:val="left" w:pos="2268"/>
          <w:tab w:val="left" w:pos="6804"/>
        </w:tabs>
        <w:spacing w:after="0" w:line="240" w:lineRule="auto"/>
        <w:jc w:val="both"/>
        <w:rPr>
          <w:rFonts w:ascii="Times New Roman" w:hAnsi="Times New Roman" w:cs="Times New Roman"/>
          <w:sz w:val="28"/>
          <w:szCs w:val="28"/>
        </w:rPr>
      </w:pPr>
    </w:p>
    <w:p w:rsidR="00F239C0" w:rsidRDefault="00F239C0" w:rsidP="002A5E85">
      <w:pPr>
        <w:tabs>
          <w:tab w:val="left" w:pos="2268"/>
          <w:tab w:val="left" w:pos="6804"/>
        </w:tabs>
        <w:spacing w:after="0" w:line="240" w:lineRule="auto"/>
        <w:jc w:val="center"/>
        <w:rPr>
          <w:rFonts w:ascii="Times New Roman" w:hAnsi="Times New Roman" w:cs="Times New Roman"/>
          <w:sz w:val="28"/>
          <w:szCs w:val="28"/>
          <w:u w:val="single"/>
        </w:rPr>
      </w:pPr>
      <w:r w:rsidRPr="002A5E85">
        <w:rPr>
          <w:rFonts w:ascii="Times New Roman" w:hAnsi="Times New Roman" w:cs="Times New Roman"/>
          <w:sz w:val="28"/>
          <w:szCs w:val="28"/>
          <w:u w:val="single"/>
        </w:rPr>
        <w:t>Граждане, имеющие право на получение бесплатной юридической помощи, освобождены от платы за нотариальное удостоверение доверенности на представление их интересов в судах, иных органах и организациях</w:t>
      </w:r>
    </w:p>
    <w:p w:rsidR="002A5E85" w:rsidRPr="002A5E85" w:rsidRDefault="002A5E85" w:rsidP="002A5E85">
      <w:pPr>
        <w:tabs>
          <w:tab w:val="left" w:pos="2268"/>
          <w:tab w:val="left" w:pos="6804"/>
        </w:tabs>
        <w:spacing w:after="0" w:line="240" w:lineRule="auto"/>
        <w:jc w:val="center"/>
        <w:rPr>
          <w:rFonts w:ascii="Times New Roman" w:hAnsi="Times New Roman" w:cs="Times New Roman"/>
          <w:sz w:val="28"/>
          <w:szCs w:val="28"/>
          <w:u w:val="single"/>
        </w:rPr>
      </w:pPr>
    </w:p>
    <w:p w:rsidR="00F239C0" w:rsidRPr="00F239C0" w:rsidRDefault="002A5E85" w:rsidP="00F239C0">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Pr="00F239C0">
        <w:rPr>
          <w:rFonts w:ascii="Times New Roman" w:hAnsi="Times New Roman" w:cs="Times New Roman"/>
          <w:sz w:val="28"/>
          <w:szCs w:val="28"/>
        </w:rPr>
        <w:t>Федеральны</w:t>
      </w:r>
      <w:r>
        <w:rPr>
          <w:rFonts w:ascii="Times New Roman" w:hAnsi="Times New Roman" w:cs="Times New Roman"/>
          <w:sz w:val="28"/>
          <w:szCs w:val="28"/>
        </w:rPr>
        <w:t>м</w:t>
      </w:r>
      <w:r w:rsidRPr="00F239C0">
        <w:rPr>
          <w:rFonts w:ascii="Times New Roman" w:hAnsi="Times New Roman" w:cs="Times New Roman"/>
          <w:sz w:val="28"/>
          <w:szCs w:val="28"/>
        </w:rPr>
        <w:t xml:space="preserve"> закон</w:t>
      </w:r>
      <w:r>
        <w:rPr>
          <w:rFonts w:ascii="Times New Roman" w:hAnsi="Times New Roman" w:cs="Times New Roman"/>
          <w:sz w:val="28"/>
          <w:szCs w:val="28"/>
        </w:rPr>
        <w:t>ом</w:t>
      </w:r>
      <w:r w:rsidRPr="00F239C0">
        <w:rPr>
          <w:rFonts w:ascii="Times New Roman" w:hAnsi="Times New Roman" w:cs="Times New Roman"/>
          <w:sz w:val="28"/>
          <w:szCs w:val="28"/>
        </w:rPr>
        <w:t xml:space="preserve"> от 10.07.2023 </w:t>
      </w:r>
      <w:r>
        <w:rPr>
          <w:rFonts w:ascii="Times New Roman" w:hAnsi="Times New Roman" w:cs="Times New Roman"/>
          <w:sz w:val="28"/>
          <w:szCs w:val="28"/>
        </w:rPr>
        <w:t>№</w:t>
      </w:r>
      <w:r w:rsidRPr="00F239C0">
        <w:rPr>
          <w:rFonts w:ascii="Times New Roman" w:hAnsi="Times New Roman" w:cs="Times New Roman"/>
          <w:sz w:val="28"/>
          <w:szCs w:val="28"/>
        </w:rPr>
        <w:t xml:space="preserve"> 325-ФЗ</w:t>
      </w:r>
      <w:r>
        <w:rPr>
          <w:rFonts w:ascii="Times New Roman" w:hAnsi="Times New Roman" w:cs="Times New Roman"/>
          <w:sz w:val="28"/>
          <w:szCs w:val="28"/>
        </w:rPr>
        <w:t xml:space="preserve"> «</w:t>
      </w:r>
      <w:r w:rsidRPr="00F239C0">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F239C0">
        <w:rPr>
          <w:rFonts w:ascii="Times New Roman" w:hAnsi="Times New Roman" w:cs="Times New Roman"/>
          <w:sz w:val="28"/>
          <w:szCs w:val="28"/>
        </w:rPr>
        <w:t>О бесплатной юридической помощи в Российской Федерации</w:t>
      </w:r>
      <w:r>
        <w:rPr>
          <w:rFonts w:ascii="Times New Roman" w:hAnsi="Times New Roman" w:cs="Times New Roman"/>
          <w:sz w:val="28"/>
          <w:szCs w:val="28"/>
        </w:rPr>
        <w:t>»</w:t>
      </w:r>
      <w:r w:rsidRPr="00F239C0">
        <w:rPr>
          <w:rFonts w:ascii="Times New Roman" w:hAnsi="Times New Roman" w:cs="Times New Roman"/>
          <w:sz w:val="28"/>
          <w:szCs w:val="28"/>
        </w:rPr>
        <w:t xml:space="preserve"> и статью 44 Федерального закона </w:t>
      </w:r>
      <w:r>
        <w:rPr>
          <w:rFonts w:ascii="Times New Roman" w:hAnsi="Times New Roman" w:cs="Times New Roman"/>
          <w:sz w:val="28"/>
          <w:szCs w:val="28"/>
        </w:rPr>
        <w:t>«</w:t>
      </w:r>
      <w:r w:rsidRPr="00F239C0">
        <w:rPr>
          <w:rFonts w:ascii="Times New Roman" w:hAnsi="Times New Roman" w:cs="Times New Roman"/>
          <w:sz w:val="28"/>
          <w:szCs w:val="28"/>
        </w:rPr>
        <w:t>Об общих принципах организации публичной власти в субъектах Российской Федерации</w:t>
      </w:r>
      <w:r>
        <w:rPr>
          <w:rFonts w:ascii="Times New Roman" w:hAnsi="Times New Roman" w:cs="Times New Roman"/>
          <w:sz w:val="28"/>
          <w:szCs w:val="28"/>
        </w:rPr>
        <w:t>»</w:t>
      </w:r>
      <w:r w:rsidR="00F239C0" w:rsidRPr="00F239C0">
        <w:rPr>
          <w:rFonts w:ascii="Times New Roman" w:hAnsi="Times New Roman" w:cs="Times New Roman"/>
          <w:sz w:val="28"/>
          <w:szCs w:val="28"/>
        </w:rPr>
        <w:t xml:space="preserve"> нотариусы в рамках государственной системы бесплатной юридической помощи бесплатно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указанном случае гражданам необходимо представить нотариусам соглашения, заключенные с адвокатами либо с государственными юридическими бюро.</w:t>
      </w:r>
    </w:p>
    <w:p w:rsidR="00F239C0" w:rsidRPr="00F239C0" w:rsidRDefault="002A5E85" w:rsidP="00F239C0">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39C0" w:rsidRPr="00F239C0">
        <w:rPr>
          <w:rFonts w:ascii="Times New Roman" w:hAnsi="Times New Roman" w:cs="Times New Roman"/>
          <w:sz w:val="28"/>
          <w:szCs w:val="28"/>
        </w:rPr>
        <w:t>Размер оплаты нотариального действия подлежит компенсации за счет средств бюджетов субъектов РФ и включает в себя сумму федерального и регионального тарифов.</w:t>
      </w:r>
    </w:p>
    <w:p w:rsidR="00F239C0" w:rsidRPr="00F239C0" w:rsidRDefault="002A5E85" w:rsidP="00F239C0">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39C0" w:rsidRPr="00F239C0">
        <w:rPr>
          <w:rFonts w:ascii="Times New Roman" w:hAnsi="Times New Roman" w:cs="Times New Roman"/>
          <w:sz w:val="28"/>
          <w:szCs w:val="28"/>
        </w:rPr>
        <w:t>Также документом предусмотрен порядок компенсации нотариусам оплаты нотариальных действий, совершенных ими бесплатно, и закреплено, что указанная компенсация производится ежегодно.</w:t>
      </w:r>
    </w:p>
    <w:p w:rsidR="00F239C0" w:rsidRDefault="002A5E85" w:rsidP="00F239C0">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39C0" w:rsidRPr="00F239C0">
        <w:rPr>
          <w:rFonts w:ascii="Times New Roman" w:hAnsi="Times New Roman" w:cs="Times New Roman"/>
          <w:sz w:val="28"/>
          <w:szCs w:val="28"/>
        </w:rPr>
        <w:t>Федеральный закон вступает в силу с 1 января 2024 года.</w:t>
      </w:r>
    </w:p>
    <w:p w:rsidR="002A5E85" w:rsidRDefault="002A5E85" w:rsidP="00F239C0">
      <w:pPr>
        <w:tabs>
          <w:tab w:val="left" w:pos="2268"/>
          <w:tab w:val="left" w:pos="6804"/>
        </w:tabs>
        <w:spacing w:after="0" w:line="240" w:lineRule="auto"/>
        <w:jc w:val="both"/>
        <w:rPr>
          <w:rFonts w:ascii="Times New Roman" w:hAnsi="Times New Roman" w:cs="Times New Roman"/>
          <w:sz w:val="28"/>
          <w:szCs w:val="28"/>
        </w:rPr>
      </w:pPr>
    </w:p>
    <w:p w:rsidR="002A5E85" w:rsidRPr="002A5E85" w:rsidRDefault="002A5E85" w:rsidP="002A5E85">
      <w:pPr>
        <w:tabs>
          <w:tab w:val="left" w:pos="2268"/>
          <w:tab w:val="left" w:pos="6804"/>
        </w:tabs>
        <w:spacing w:after="0" w:line="240" w:lineRule="auto"/>
        <w:jc w:val="center"/>
        <w:rPr>
          <w:rFonts w:ascii="Times New Roman" w:hAnsi="Times New Roman" w:cs="Times New Roman"/>
          <w:sz w:val="28"/>
          <w:szCs w:val="28"/>
          <w:u w:val="single"/>
        </w:rPr>
      </w:pPr>
      <w:r w:rsidRPr="002A5E85">
        <w:rPr>
          <w:rFonts w:ascii="Times New Roman" w:hAnsi="Times New Roman" w:cs="Times New Roman"/>
          <w:sz w:val="28"/>
          <w:szCs w:val="28"/>
          <w:u w:val="single"/>
        </w:rPr>
        <w:t>ТРУД И ЗАНЯТОСТЬ</w:t>
      </w:r>
    </w:p>
    <w:p w:rsidR="002A5E85" w:rsidRDefault="002A5E85" w:rsidP="002A5E85">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A5E85" w:rsidRPr="002A5E85" w:rsidRDefault="002A5E85" w:rsidP="002A5E85">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5E85">
        <w:rPr>
          <w:rFonts w:ascii="Times New Roman" w:hAnsi="Times New Roman" w:cs="Times New Roman"/>
          <w:sz w:val="28"/>
          <w:szCs w:val="28"/>
        </w:rPr>
        <w:t>Конституционный Суд РФ подтвердил право работника, уволенного по соглашению сторон, на получение выходного пособия, выплата которого при увольнении по данному основанию предусмотрена трудовым договором или соглашением о его расторжении</w:t>
      </w:r>
    </w:p>
    <w:p w:rsidR="002A5E85" w:rsidRPr="002A5E85" w:rsidRDefault="002A5E85" w:rsidP="002A5E85">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5E85">
        <w:rPr>
          <w:rFonts w:ascii="Times New Roman" w:hAnsi="Times New Roman" w:cs="Times New Roman"/>
          <w:sz w:val="28"/>
          <w:szCs w:val="28"/>
        </w:rPr>
        <w:t>Часть восьмая статьи 178 Трудового кодекса РФ признана не противоречащей Конституции РФ, поскольку по своему конституционно-правовому смыслу в системе действующего правового регулирования она не предполагает отказа в выплате работнику, уволенному по соглашению сторон (пункт 1 части первой статьи 77, статья 78 данного Кодекса), выходного пособия, выплата которого при увольнении по данному основанию предусмотрена трудовым договором и (или) соглашением о его расторжении, в установленном ими размере.</w:t>
      </w:r>
    </w:p>
    <w:p w:rsidR="002A5E85" w:rsidRPr="002A5E85" w:rsidRDefault="002A5E85" w:rsidP="002A5E85">
      <w:pPr>
        <w:tabs>
          <w:tab w:val="left" w:pos="2268"/>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5E85">
        <w:rPr>
          <w:rFonts w:ascii="Times New Roman" w:hAnsi="Times New Roman" w:cs="Times New Roman"/>
          <w:sz w:val="28"/>
          <w:szCs w:val="28"/>
        </w:rPr>
        <w:t>Суд, в частности, указал, что если условия трудового договора или соглашения о его расторжении, предусматривающие выплату работнику выходного пособия при увольнении по соглашению сторон, не противоречат закону (не нарушают установленный для отдельных категорий работников запрет), то суд не имеет права отказать работнику во взыскании с работодателя выходного пособия и тем самым освободить работодателя от исполнения соответствующих условий трудового договора и (или) соглашения о его расторжении.</w:t>
      </w:r>
    </w:p>
    <w:p w:rsidR="002A5E85" w:rsidRPr="000A7857" w:rsidRDefault="002A5E85" w:rsidP="00F239C0">
      <w:pPr>
        <w:tabs>
          <w:tab w:val="left" w:pos="2268"/>
          <w:tab w:val="left" w:pos="6804"/>
        </w:tabs>
        <w:spacing w:after="0" w:line="240" w:lineRule="auto"/>
        <w:jc w:val="both"/>
        <w:rPr>
          <w:rFonts w:ascii="Times New Roman" w:hAnsi="Times New Roman" w:cs="Times New Roman"/>
          <w:sz w:val="28"/>
          <w:szCs w:val="28"/>
        </w:rPr>
      </w:pPr>
    </w:p>
    <w:sectPr w:rsidR="002A5E85" w:rsidRPr="000A7857" w:rsidSect="000A7857">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7B" w:rsidRDefault="00F55D7B" w:rsidP="007212FD">
      <w:pPr>
        <w:spacing w:after="0" w:line="240" w:lineRule="auto"/>
      </w:pPr>
      <w:r>
        <w:separator/>
      </w:r>
    </w:p>
  </w:endnote>
  <w:endnote w:type="continuationSeparator" w:id="0">
    <w:p w:rsidR="00F55D7B" w:rsidRDefault="00F55D7B"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EanGnivc">
    <w:altName w:val="Times New Roman"/>
    <w:charset w:val="00"/>
    <w:family w:val="auto"/>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3643"/>
    </w:tblGrid>
    <w:tr w:rsidR="00107179" w:rsidRPr="00C02223" w:rsidTr="00EA7E72">
      <w:trPr>
        <w:cantSplit/>
        <w:trHeight w:val="57"/>
      </w:trPr>
      <w:tc>
        <w:tcPr>
          <w:tcW w:w="3643" w:type="dxa"/>
        </w:tcPr>
        <w:p w:rsidR="002E7520" w:rsidRDefault="00923FB5" w:rsidP="002E7520">
          <w:pPr>
            <w:spacing w:after="60" w:line="240" w:lineRule="auto"/>
            <w:jc w:val="center"/>
            <w:rPr>
              <w:rFonts w:ascii="Times New Roman" w:hAnsi="Times New Roman"/>
              <w:sz w:val="16"/>
              <w:szCs w:val="16"/>
            </w:rPr>
          </w:pPr>
          <w:bookmarkStart w:id="1" w:name="SIGNERORG1"/>
          <w:r w:rsidRPr="00EA1DA0">
            <w:rPr>
              <w:rFonts w:ascii="Times New Roman" w:hAnsi="Times New Roman"/>
              <w:sz w:val="16"/>
              <w:szCs w:val="16"/>
            </w:rPr>
            <w:t>организация</w:t>
          </w:r>
          <w:bookmarkEnd w:id="1"/>
        </w:p>
        <w:p w:rsidR="00107179" w:rsidRPr="00E12680" w:rsidRDefault="00746B51" w:rsidP="00746B51">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2" w:name="REGNUMSTAMP"/>
          <w:r w:rsidR="00923FB5" w:rsidRPr="00070889">
            <w:rPr>
              <w:rFonts w:ascii="Times New Roman" w:hAnsi="Times New Roman"/>
              <w:color w:val="BFBFBF" w:themeColor="background1" w:themeShade="BF"/>
              <w:sz w:val="16"/>
              <w:szCs w:val="16"/>
            </w:rPr>
            <w:t>рег.номер</w:t>
          </w:r>
          <w:bookmarkEnd w:id="2"/>
        </w:p>
      </w:tc>
    </w:tr>
  </w:tb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7B" w:rsidRDefault="00F55D7B" w:rsidP="007212FD">
      <w:pPr>
        <w:spacing w:after="0" w:line="240" w:lineRule="auto"/>
      </w:pPr>
      <w:r>
        <w:separator/>
      </w:r>
    </w:p>
  </w:footnote>
  <w:footnote w:type="continuationSeparator" w:id="0">
    <w:p w:rsidR="00F55D7B" w:rsidRDefault="00F55D7B" w:rsidP="00721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5394"/>
    <w:multiLevelType w:val="hybridMultilevel"/>
    <w:tmpl w:val="73E6D3FA"/>
    <w:lvl w:ilvl="0" w:tplc="6EAAE30A">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w:hdrShapeDefaults>
  <w:footnotePr>
    <w:footnote w:id="-1"/>
    <w:footnote w:id="0"/>
  </w:footnotePr>
  <w:endnotePr>
    <w:endnote w:id="-1"/>
    <w:endnote w:id="0"/>
  </w:endnotePr>
  <w:compat/>
  <w:rsids>
    <w:rsidRoot w:val="00A92256"/>
    <w:rsid w:val="00014296"/>
    <w:rsid w:val="00014574"/>
    <w:rsid w:val="0001634D"/>
    <w:rsid w:val="0001696A"/>
    <w:rsid w:val="00020927"/>
    <w:rsid w:val="00020FCC"/>
    <w:rsid w:val="00021F0F"/>
    <w:rsid w:val="00024D01"/>
    <w:rsid w:val="000270F5"/>
    <w:rsid w:val="000355A8"/>
    <w:rsid w:val="00043C6C"/>
    <w:rsid w:val="000550FF"/>
    <w:rsid w:val="00056A50"/>
    <w:rsid w:val="00061D46"/>
    <w:rsid w:val="0006646A"/>
    <w:rsid w:val="00070889"/>
    <w:rsid w:val="0007553B"/>
    <w:rsid w:val="000803E2"/>
    <w:rsid w:val="000904B6"/>
    <w:rsid w:val="00090738"/>
    <w:rsid w:val="00095729"/>
    <w:rsid w:val="000A1ED6"/>
    <w:rsid w:val="000A4E3C"/>
    <w:rsid w:val="000A527E"/>
    <w:rsid w:val="000A6BB7"/>
    <w:rsid w:val="000A6C9D"/>
    <w:rsid w:val="000A7857"/>
    <w:rsid w:val="000B708E"/>
    <w:rsid w:val="000C062E"/>
    <w:rsid w:val="000C225F"/>
    <w:rsid w:val="000D3BEF"/>
    <w:rsid w:val="000D55A7"/>
    <w:rsid w:val="000D6814"/>
    <w:rsid w:val="000F2062"/>
    <w:rsid w:val="000F32C2"/>
    <w:rsid w:val="000F3E2F"/>
    <w:rsid w:val="000F46F8"/>
    <w:rsid w:val="000F7BB7"/>
    <w:rsid w:val="00107179"/>
    <w:rsid w:val="00110CFA"/>
    <w:rsid w:val="00113B33"/>
    <w:rsid w:val="00116DB2"/>
    <w:rsid w:val="0012648D"/>
    <w:rsid w:val="00134382"/>
    <w:rsid w:val="0014070A"/>
    <w:rsid w:val="00144445"/>
    <w:rsid w:val="00151B1C"/>
    <w:rsid w:val="001530C5"/>
    <w:rsid w:val="00154919"/>
    <w:rsid w:val="00156642"/>
    <w:rsid w:val="001572B8"/>
    <w:rsid w:val="001600A6"/>
    <w:rsid w:val="001606D7"/>
    <w:rsid w:val="00166A1C"/>
    <w:rsid w:val="00173F90"/>
    <w:rsid w:val="00180843"/>
    <w:rsid w:val="00181D70"/>
    <w:rsid w:val="0018208F"/>
    <w:rsid w:val="001822FA"/>
    <w:rsid w:val="001921AE"/>
    <w:rsid w:val="001A71D0"/>
    <w:rsid w:val="001B073C"/>
    <w:rsid w:val="001B3194"/>
    <w:rsid w:val="001C0242"/>
    <w:rsid w:val="001C1D35"/>
    <w:rsid w:val="001C2357"/>
    <w:rsid w:val="001C3873"/>
    <w:rsid w:val="001C4297"/>
    <w:rsid w:val="001C61B8"/>
    <w:rsid w:val="001F0F9E"/>
    <w:rsid w:val="001F2B16"/>
    <w:rsid w:val="001F5899"/>
    <w:rsid w:val="001F7FCD"/>
    <w:rsid w:val="002048A1"/>
    <w:rsid w:val="00205FA9"/>
    <w:rsid w:val="0021798D"/>
    <w:rsid w:val="002403E3"/>
    <w:rsid w:val="00280D52"/>
    <w:rsid w:val="00281733"/>
    <w:rsid w:val="00282A49"/>
    <w:rsid w:val="00287332"/>
    <w:rsid w:val="00287E61"/>
    <w:rsid w:val="00291073"/>
    <w:rsid w:val="002955B5"/>
    <w:rsid w:val="00297BCD"/>
    <w:rsid w:val="002A5E85"/>
    <w:rsid w:val="002A61DD"/>
    <w:rsid w:val="002A6465"/>
    <w:rsid w:val="002C7C1D"/>
    <w:rsid w:val="002D484E"/>
    <w:rsid w:val="002E34DC"/>
    <w:rsid w:val="002E7520"/>
    <w:rsid w:val="002F11F6"/>
    <w:rsid w:val="002F192D"/>
    <w:rsid w:val="002F5211"/>
    <w:rsid w:val="003036BC"/>
    <w:rsid w:val="003407C6"/>
    <w:rsid w:val="0034238E"/>
    <w:rsid w:val="003443C6"/>
    <w:rsid w:val="00351661"/>
    <w:rsid w:val="00355F1A"/>
    <w:rsid w:val="00367172"/>
    <w:rsid w:val="0037627A"/>
    <w:rsid w:val="00384D83"/>
    <w:rsid w:val="00385FD2"/>
    <w:rsid w:val="003877B3"/>
    <w:rsid w:val="0039045F"/>
    <w:rsid w:val="003A1F45"/>
    <w:rsid w:val="003B4D0B"/>
    <w:rsid w:val="003B5CF8"/>
    <w:rsid w:val="003B7F94"/>
    <w:rsid w:val="003C030D"/>
    <w:rsid w:val="003C1601"/>
    <w:rsid w:val="003C1812"/>
    <w:rsid w:val="003C2B52"/>
    <w:rsid w:val="003E45E7"/>
    <w:rsid w:val="003F0F0D"/>
    <w:rsid w:val="004036B5"/>
    <w:rsid w:val="00406605"/>
    <w:rsid w:val="00410A58"/>
    <w:rsid w:val="004127B4"/>
    <w:rsid w:val="00414388"/>
    <w:rsid w:val="004412DC"/>
    <w:rsid w:val="0045130A"/>
    <w:rsid w:val="00461255"/>
    <w:rsid w:val="00464C05"/>
    <w:rsid w:val="00466573"/>
    <w:rsid w:val="00470AB3"/>
    <w:rsid w:val="00470BE4"/>
    <w:rsid w:val="00471072"/>
    <w:rsid w:val="00471B0F"/>
    <w:rsid w:val="004840EF"/>
    <w:rsid w:val="00497EE9"/>
    <w:rsid w:val="004A2339"/>
    <w:rsid w:val="004A6AB6"/>
    <w:rsid w:val="004B0034"/>
    <w:rsid w:val="004B1191"/>
    <w:rsid w:val="004C37D3"/>
    <w:rsid w:val="004D754A"/>
    <w:rsid w:val="004E0AF0"/>
    <w:rsid w:val="004E2E04"/>
    <w:rsid w:val="004E386A"/>
    <w:rsid w:val="004E3F7D"/>
    <w:rsid w:val="004E7B80"/>
    <w:rsid w:val="004F53F0"/>
    <w:rsid w:val="00501116"/>
    <w:rsid w:val="00503D80"/>
    <w:rsid w:val="00503DD5"/>
    <w:rsid w:val="00505E8B"/>
    <w:rsid w:val="00507B53"/>
    <w:rsid w:val="00512CB8"/>
    <w:rsid w:val="00521E7D"/>
    <w:rsid w:val="005220DC"/>
    <w:rsid w:val="00530B5B"/>
    <w:rsid w:val="005316CD"/>
    <w:rsid w:val="005342D1"/>
    <w:rsid w:val="00535117"/>
    <w:rsid w:val="00536C62"/>
    <w:rsid w:val="00540698"/>
    <w:rsid w:val="00546605"/>
    <w:rsid w:val="00555265"/>
    <w:rsid w:val="00563136"/>
    <w:rsid w:val="00573CBD"/>
    <w:rsid w:val="005741AC"/>
    <w:rsid w:val="00587ED7"/>
    <w:rsid w:val="00590D66"/>
    <w:rsid w:val="005916D9"/>
    <w:rsid w:val="005A0043"/>
    <w:rsid w:val="005A0689"/>
    <w:rsid w:val="005A7C5E"/>
    <w:rsid w:val="005B066B"/>
    <w:rsid w:val="005B42A1"/>
    <w:rsid w:val="005B6345"/>
    <w:rsid w:val="005C1627"/>
    <w:rsid w:val="005C4F44"/>
    <w:rsid w:val="005C6A45"/>
    <w:rsid w:val="005D0F18"/>
    <w:rsid w:val="005E1CDD"/>
    <w:rsid w:val="005F3038"/>
    <w:rsid w:val="00602204"/>
    <w:rsid w:val="0060478D"/>
    <w:rsid w:val="00610CE9"/>
    <w:rsid w:val="006128E0"/>
    <w:rsid w:val="00613B7C"/>
    <w:rsid w:val="00632958"/>
    <w:rsid w:val="006404A9"/>
    <w:rsid w:val="00640924"/>
    <w:rsid w:val="00644EF4"/>
    <w:rsid w:val="006541AC"/>
    <w:rsid w:val="0065704F"/>
    <w:rsid w:val="00672D84"/>
    <w:rsid w:val="0067714B"/>
    <w:rsid w:val="006779E4"/>
    <w:rsid w:val="00683C32"/>
    <w:rsid w:val="006879C2"/>
    <w:rsid w:val="00693993"/>
    <w:rsid w:val="00695E6B"/>
    <w:rsid w:val="006B2BBE"/>
    <w:rsid w:val="006B3C44"/>
    <w:rsid w:val="006B3CEA"/>
    <w:rsid w:val="006C3913"/>
    <w:rsid w:val="006C7592"/>
    <w:rsid w:val="006D6E15"/>
    <w:rsid w:val="006E2551"/>
    <w:rsid w:val="006E2A1E"/>
    <w:rsid w:val="006F4D2C"/>
    <w:rsid w:val="006F6EF4"/>
    <w:rsid w:val="006F7CC2"/>
    <w:rsid w:val="007047DF"/>
    <w:rsid w:val="007212FD"/>
    <w:rsid w:val="00722A7C"/>
    <w:rsid w:val="00724B5B"/>
    <w:rsid w:val="00725C8E"/>
    <w:rsid w:val="00726261"/>
    <w:rsid w:val="00746B51"/>
    <w:rsid w:val="00756908"/>
    <w:rsid w:val="00761AA2"/>
    <w:rsid w:val="0076212D"/>
    <w:rsid w:val="00783848"/>
    <w:rsid w:val="007928EA"/>
    <w:rsid w:val="0079459D"/>
    <w:rsid w:val="007B406E"/>
    <w:rsid w:val="007B5558"/>
    <w:rsid w:val="007B72CB"/>
    <w:rsid w:val="007C155E"/>
    <w:rsid w:val="007C17ED"/>
    <w:rsid w:val="007C46FD"/>
    <w:rsid w:val="007D33FC"/>
    <w:rsid w:val="007E0EA0"/>
    <w:rsid w:val="007F158F"/>
    <w:rsid w:val="007F6CD9"/>
    <w:rsid w:val="0080110C"/>
    <w:rsid w:val="00807B4A"/>
    <w:rsid w:val="00824A65"/>
    <w:rsid w:val="00835886"/>
    <w:rsid w:val="00843712"/>
    <w:rsid w:val="00844FB8"/>
    <w:rsid w:val="00861729"/>
    <w:rsid w:val="00874AEC"/>
    <w:rsid w:val="008825C3"/>
    <w:rsid w:val="00882E6D"/>
    <w:rsid w:val="0089082C"/>
    <w:rsid w:val="008A14AF"/>
    <w:rsid w:val="008B567E"/>
    <w:rsid w:val="008B754F"/>
    <w:rsid w:val="008C26A5"/>
    <w:rsid w:val="008C2816"/>
    <w:rsid w:val="008C747D"/>
    <w:rsid w:val="008D0475"/>
    <w:rsid w:val="008D6D54"/>
    <w:rsid w:val="008E7BC1"/>
    <w:rsid w:val="008F0531"/>
    <w:rsid w:val="008F7298"/>
    <w:rsid w:val="00905899"/>
    <w:rsid w:val="009107B5"/>
    <w:rsid w:val="00920770"/>
    <w:rsid w:val="00923FB5"/>
    <w:rsid w:val="009260CB"/>
    <w:rsid w:val="009304F7"/>
    <w:rsid w:val="00930800"/>
    <w:rsid w:val="00932222"/>
    <w:rsid w:val="00932252"/>
    <w:rsid w:val="00934308"/>
    <w:rsid w:val="0093472E"/>
    <w:rsid w:val="00935651"/>
    <w:rsid w:val="0095271F"/>
    <w:rsid w:val="009800C5"/>
    <w:rsid w:val="00985616"/>
    <w:rsid w:val="00992E4D"/>
    <w:rsid w:val="009949BA"/>
    <w:rsid w:val="0099556E"/>
    <w:rsid w:val="009A186E"/>
    <w:rsid w:val="009A2C8E"/>
    <w:rsid w:val="009B0AD4"/>
    <w:rsid w:val="009B7FFE"/>
    <w:rsid w:val="009C057A"/>
    <w:rsid w:val="009D04AE"/>
    <w:rsid w:val="009D5CBB"/>
    <w:rsid w:val="009D7277"/>
    <w:rsid w:val="009E3844"/>
    <w:rsid w:val="009E54A4"/>
    <w:rsid w:val="009F1DDB"/>
    <w:rsid w:val="00A009C7"/>
    <w:rsid w:val="00A02350"/>
    <w:rsid w:val="00A1193C"/>
    <w:rsid w:val="00A14930"/>
    <w:rsid w:val="00A21AA7"/>
    <w:rsid w:val="00A30D31"/>
    <w:rsid w:val="00A45F78"/>
    <w:rsid w:val="00A46A77"/>
    <w:rsid w:val="00A56FBD"/>
    <w:rsid w:val="00A70A77"/>
    <w:rsid w:val="00A858C3"/>
    <w:rsid w:val="00A92256"/>
    <w:rsid w:val="00A95BBB"/>
    <w:rsid w:val="00AA20C0"/>
    <w:rsid w:val="00AA6939"/>
    <w:rsid w:val="00AC351C"/>
    <w:rsid w:val="00AE59FA"/>
    <w:rsid w:val="00AE7195"/>
    <w:rsid w:val="00B03059"/>
    <w:rsid w:val="00B05F6A"/>
    <w:rsid w:val="00B14110"/>
    <w:rsid w:val="00B30832"/>
    <w:rsid w:val="00B35CBB"/>
    <w:rsid w:val="00B401BF"/>
    <w:rsid w:val="00B55C7F"/>
    <w:rsid w:val="00B5629E"/>
    <w:rsid w:val="00B613FF"/>
    <w:rsid w:val="00B63C1F"/>
    <w:rsid w:val="00B811B8"/>
    <w:rsid w:val="00B96E0C"/>
    <w:rsid w:val="00BA1182"/>
    <w:rsid w:val="00BA2E39"/>
    <w:rsid w:val="00BC6A8C"/>
    <w:rsid w:val="00BD33FD"/>
    <w:rsid w:val="00BE3CB4"/>
    <w:rsid w:val="00BE4328"/>
    <w:rsid w:val="00BE7C58"/>
    <w:rsid w:val="00BF42CF"/>
    <w:rsid w:val="00BF724B"/>
    <w:rsid w:val="00C1310A"/>
    <w:rsid w:val="00C175CF"/>
    <w:rsid w:val="00C23C4D"/>
    <w:rsid w:val="00C30BB6"/>
    <w:rsid w:val="00C31CFE"/>
    <w:rsid w:val="00C32643"/>
    <w:rsid w:val="00C32DEB"/>
    <w:rsid w:val="00C4069F"/>
    <w:rsid w:val="00C45C7E"/>
    <w:rsid w:val="00C5624E"/>
    <w:rsid w:val="00C6273E"/>
    <w:rsid w:val="00C644D1"/>
    <w:rsid w:val="00C65E82"/>
    <w:rsid w:val="00C66B82"/>
    <w:rsid w:val="00C72E22"/>
    <w:rsid w:val="00C73886"/>
    <w:rsid w:val="00C80F9D"/>
    <w:rsid w:val="00C82472"/>
    <w:rsid w:val="00C858F6"/>
    <w:rsid w:val="00C873DA"/>
    <w:rsid w:val="00C903A4"/>
    <w:rsid w:val="00CA18C3"/>
    <w:rsid w:val="00CA5F0B"/>
    <w:rsid w:val="00CB564A"/>
    <w:rsid w:val="00CB793A"/>
    <w:rsid w:val="00CC43A4"/>
    <w:rsid w:val="00CD3804"/>
    <w:rsid w:val="00CE28AF"/>
    <w:rsid w:val="00CE3379"/>
    <w:rsid w:val="00CE37A6"/>
    <w:rsid w:val="00CE492F"/>
    <w:rsid w:val="00CF03C8"/>
    <w:rsid w:val="00D12444"/>
    <w:rsid w:val="00D30322"/>
    <w:rsid w:val="00D376A9"/>
    <w:rsid w:val="00D419B3"/>
    <w:rsid w:val="00D54E9E"/>
    <w:rsid w:val="00D57ECA"/>
    <w:rsid w:val="00D620C0"/>
    <w:rsid w:val="00D67556"/>
    <w:rsid w:val="00D75FDE"/>
    <w:rsid w:val="00D76369"/>
    <w:rsid w:val="00D80883"/>
    <w:rsid w:val="00D84DA2"/>
    <w:rsid w:val="00D861EA"/>
    <w:rsid w:val="00D935F1"/>
    <w:rsid w:val="00D941DC"/>
    <w:rsid w:val="00D97AA5"/>
    <w:rsid w:val="00DA3671"/>
    <w:rsid w:val="00DA6DCD"/>
    <w:rsid w:val="00DA7CFC"/>
    <w:rsid w:val="00DB6ACA"/>
    <w:rsid w:val="00DC02E7"/>
    <w:rsid w:val="00DC1887"/>
    <w:rsid w:val="00DD181A"/>
    <w:rsid w:val="00DE5B7B"/>
    <w:rsid w:val="00DE6611"/>
    <w:rsid w:val="00DF4BF0"/>
    <w:rsid w:val="00DF74D9"/>
    <w:rsid w:val="00E1011E"/>
    <w:rsid w:val="00E12680"/>
    <w:rsid w:val="00E151A6"/>
    <w:rsid w:val="00E239CA"/>
    <w:rsid w:val="00E4286E"/>
    <w:rsid w:val="00E44B9F"/>
    <w:rsid w:val="00E46BE6"/>
    <w:rsid w:val="00E81C9B"/>
    <w:rsid w:val="00E823BC"/>
    <w:rsid w:val="00E87CB2"/>
    <w:rsid w:val="00EA1DA0"/>
    <w:rsid w:val="00EA4C87"/>
    <w:rsid w:val="00EA55AF"/>
    <w:rsid w:val="00EA5F8D"/>
    <w:rsid w:val="00EA7E72"/>
    <w:rsid w:val="00EB1906"/>
    <w:rsid w:val="00EB550D"/>
    <w:rsid w:val="00EB5B39"/>
    <w:rsid w:val="00EC1501"/>
    <w:rsid w:val="00EC7FC1"/>
    <w:rsid w:val="00ED1C26"/>
    <w:rsid w:val="00ED46F3"/>
    <w:rsid w:val="00ED719A"/>
    <w:rsid w:val="00EE59E5"/>
    <w:rsid w:val="00EF0DB4"/>
    <w:rsid w:val="00EF1A8D"/>
    <w:rsid w:val="00EF32E2"/>
    <w:rsid w:val="00F0673C"/>
    <w:rsid w:val="00F072AA"/>
    <w:rsid w:val="00F146CF"/>
    <w:rsid w:val="00F15B89"/>
    <w:rsid w:val="00F15E73"/>
    <w:rsid w:val="00F239C0"/>
    <w:rsid w:val="00F31E69"/>
    <w:rsid w:val="00F41A8A"/>
    <w:rsid w:val="00F4476D"/>
    <w:rsid w:val="00F50B1B"/>
    <w:rsid w:val="00F5277D"/>
    <w:rsid w:val="00F53BF3"/>
    <w:rsid w:val="00F55D7B"/>
    <w:rsid w:val="00F57360"/>
    <w:rsid w:val="00F62B13"/>
    <w:rsid w:val="00F66AC5"/>
    <w:rsid w:val="00F67926"/>
    <w:rsid w:val="00F762C1"/>
    <w:rsid w:val="00F8464A"/>
    <w:rsid w:val="00F9110D"/>
    <w:rsid w:val="00F95708"/>
    <w:rsid w:val="00F95FA4"/>
    <w:rsid w:val="00FA01E1"/>
    <w:rsid w:val="00FD0DB3"/>
    <w:rsid w:val="00FD3AE9"/>
    <w:rsid w:val="00FD54C6"/>
    <w:rsid w:val="00FD6F81"/>
    <w:rsid w:val="00FE23D6"/>
    <w:rsid w:val="00FE3EC1"/>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Normal">
    <w:name w:val="Текст.Normal"/>
    <w:rsid w:val="002F11F6"/>
    <w:pPr>
      <w:snapToGrid w:val="0"/>
      <w:spacing w:after="0" w:line="360" w:lineRule="auto"/>
      <w:ind w:firstLine="567"/>
    </w:pPr>
    <w:rPr>
      <w:rFonts w:ascii="Times New Roman" w:eastAsia="Times New Roman" w:hAnsi="Times New Roman" w:cs="Times New Roman"/>
      <w:sz w:val="28"/>
      <w:szCs w:val="20"/>
      <w:lang w:eastAsia="ru-RU"/>
    </w:rPr>
  </w:style>
  <w:style w:type="paragraph" w:styleId="aa">
    <w:name w:val="List Paragraph"/>
    <w:basedOn w:val="a"/>
    <w:uiPriority w:val="34"/>
    <w:qFormat/>
    <w:rsid w:val="005B066B"/>
    <w:pPr>
      <w:ind w:left="720"/>
      <w:contextualSpacing/>
    </w:pPr>
  </w:style>
  <w:style w:type="character" w:styleId="ab">
    <w:name w:val="Hyperlink"/>
    <w:basedOn w:val="a0"/>
    <w:uiPriority w:val="99"/>
    <w:unhideWhenUsed/>
    <w:rsid w:val="00466573"/>
    <w:rPr>
      <w:color w:val="0563C1" w:themeColor="hyperlink"/>
      <w:u w:val="single"/>
    </w:rPr>
  </w:style>
  <w:style w:type="character" w:customStyle="1" w:styleId="UnresolvedMention">
    <w:name w:val="Unresolved Mention"/>
    <w:basedOn w:val="a0"/>
    <w:uiPriority w:val="99"/>
    <w:semiHidden/>
    <w:unhideWhenUsed/>
    <w:rsid w:val="004665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972604">
      <w:bodyDiv w:val="1"/>
      <w:marLeft w:val="0"/>
      <w:marRight w:val="0"/>
      <w:marTop w:val="0"/>
      <w:marBottom w:val="0"/>
      <w:divBdr>
        <w:top w:val="none" w:sz="0" w:space="0" w:color="auto"/>
        <w:left w:val="none" w:sz="0" w:space="0" w:color="auto"/>
        <w:bottom w:val="none" w:sz="0" w:space="0" w:color="auto"/>
        <w:right w:val="none" w:sz="0" w:space="0" w:color="auto"/>
      </w:divBdr>
    </w:div>
    <w:div w:id="460850877">
      <w:bodyDiv w:val="1"/>
      <w:marLeft w:val="0"/>
      <w:marRight w:val="0"/>
      <w:marTop w:val="0"/>
      <w:marBottom w:val="0"/>
      <w:divBdr>
        <w:top w:val="none" w:sz="0" w:space="0" w:color="auto"/>
        <w:left w:val="none" w:sz="0" w:space="0" w:color="auto"/>
        <w:bottom w:val="none" w:sz="0" w:space="0" w:color="auto"/>
        <w:right w:val="none" w:sz="0" w:space="0" w:color="auto"/>
      </w:divBdr>
    </w:div>
    <w:div w:id="980964447">
      <w:bodyDiv w:val="1"/>
      <w:marLeft w:val="0"/>
      <w:marRight w:val="0"/>
      <w:marTop w:val="0"/>
      <w:marBottom w:val="0"/>
      <w:divBdr>
        <w:top w:val="none" w:sz="0" w:space="0" w:color="auto"/>
        <w:left w:val="none" w:sz="0" w:space="0" w:color="auto"/>
        <w:bottom w:val="none" w:sz="0" w:space="0" w:color="auto"/>
        <w:right w:val="none" w:sz="0" w:space="0" w:color="auto"/>
      </w:divBdr>
    </w:div>
    <w:div w:id="1113551707">
      <w:bodyDiv w:val="1"/>
      <w:marLeft w:val="0"/>
      <w:marRight w:val="0"/>
      <w:marTop w:val="0"/>
      <w:marBottom w:val="0"/>
      <w:divBdr>
        <w:top w:val="none" w:sz="0" w:space="0" w:color="auto"/>
        <w:left w:val="none" w:sz="0" w:space="0" w:color="auto"/>
        <w:bottom w:val="none" w:sz="0" w:space="0" w:color="auto"/>
        <w:right w:val="none" w:sz="0" w:space="0" w:color="auto"/>
      </w:divBdr>
    </w:div>
    <w:div w:id="1235354571">
      <w:bodyDiv w:val="1"/>
      <w:marLeft w:val="0"/>
      <w:marRight w:val="0"/>
      <w:marTop w:val="0"/>
      <w:marBottom w:val="0"/>
      <w:divBdr>
        <w:top w:val="none" w:sz="0" w:space="0" w:color="auto"/>
        <w:left w:val="none" w:sz="0" w:space="0" w:color="auto"/>
        <w:bottom w:val="none" w:sz="0" w:space="0" w:color="auto"/>
        <w:right w:val="none" w:sz="0" w:space="0" w:color="auto"/>
      </w:divBdr>
    </w:div>
    <w:div w:id="1846436832">
      <w:bodyDiv w:val="1"/>
      <w:marLeft w:val="0"/>
      <w:marRight w:val="0"/>
      <w:marTop w:val="0"/>
      <w:marBottom w:val="0"/>
      <w:divBdr>
        <w:top w:val="none" w:sz="0" w:space="0" w:color="auto"/>
        <w:left w:val="none" w:sz="0" w:space="0" w:color="auto"/>
        <w:bottom w:val="none" w:sz="0" w:space="0" w:color="auto"/>
        <w:right w:val="none" w:sz="0" w:space="0" w:color="auto"/>
      </w:divBdr>
      <w:divsChild>
        <w:div w:id="1269965705">
          <w:marLeft w:val="0"/>
          <w:marRight w:val="0"/>
          <w:marTop w:val="0"/>
          <w:marBottom w:val="0"/>
          <w:divBdr>
            <w:top w:val="none" w:sz="0" w:space="0" w:color="auto"/>
            <w:left w:val="none" w:sz="0" w:space="0" w:color="auto"/>
            <w:bottom w:val="none" w:sz="0" w:space="0" w:color="auto"/>
            <w:right w:val="none" w:sz="0" w:space="0" w:color="auto"/>
          </w:divBdr>
        </w:div>
      </w:divsChild>
    </w:div>
    <w:div w:id="19226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F4A2FC-F51D-441B-9D69-0B56AEA3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cp:lastModifiedBy>
  <cp:revision>2</cp:revision>
  <cp:lastPrinted>2021-06-11T06:15:00Z</cp:lastPrinted>
  <dcterms:created xsi:type="dcterms:W3CDTF">2023-08-18T10:36:00Z</dcterms:created>
  <dcterms:modified xsi:type="dcterms:W3CDTF">2023-08-18T10:36:00Z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