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BA" w:rsidRDefault="00D05BBA" w:rsidP="00D05BBA">
      <w:pPr>
        <w:jc w:val="center"/>
        <w:rPr>
          <w:rFonts w:ascii="Times New Roman" w:hAnsi="Times New Roman" w:cs="Times New Roman"/>
          <w:b/>
          <w:sz w:val="28"/>
          <w:szCs w:val="28"/>
        </w:rPr>
      </w:pPr>
      <w:r w:rsidRPr="00D05BBA">
        <w:rPr>
          <w:rFonts w:ascii="Times New Roman" w:hAnsi="Times New Roman" w:cs="Times New Roman"/>
          <w:b/>
          <w:sz w:val="28"/>
          <w:szCs w:val="28"/>
        </w:rPr>
        <w:t>Запрет деятельности террористической организации может быть приостановлен по решению суда</w:t>
      </w:r>
      <w:r>
        <w:rPr>
          <w:rFonts w:ascii="Times New Roman" w:hAnsi="Times New Roman" w:cs="Times New Roman"/>
          <w:b/>
          <w:sz w:val="28"/>
          <w:szCs w:val="28"/>
        </w:rPr>
        <w:t>.</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 Дела о приостановлении запрета деятельности организации, включенной в единый федеральный список организаций, признанных террористическими, либо об отмене такого приостановления будут рассматриваться Верховным Судом РФ в порядке административного судопроизводства. Определен порядок рассмотрения указанной категории дел. Для приостановления судом запрета деятельности организации, включенной в единый федеральный список организаций, признанных террористическими, необходимо заявление Генерального прокурора РФ или его заместителя при наличии фактических данных о том, что организация после включения ее в указанный список прекратила осуществление деятельности, направленной на пропаганду, оправдание и поддержку терроризма или совершение определенных преступлений. Приостановление запрета деятельности может быть отменено в аналогичном порядке. К основаниям для исключения организации из перечня организаций, в отношении которых имеются сведения об их причастности к экстремистской деятельности или терроризму, отнесено вступившее в законную силу решение суда о приостановлении запрета деятельности организации, включенной в единый федеральный список организаций, законодательством РФ террористическими. признанных в соответствии с К основаниям для включения организации в перечень организаций, в отношении которых имеются сведения об их причастности к экстремистской деятельности или терроризму, отнесено вступившее в законную силу решение суда об отмене приостановления запрета деятельности организации. Принятие судом решения о приостановлении запрета деятельности организации, включенной в указанный список, не является основанием для пересмотра вступивших в законную силу приговоров судов, вынесенных по уголовным делам, связанным с такой организацией, до дня вступления в законную силу соответствующего судебного решения о приостановлении запрета деятельности организации, включенной в указанный список. </w:t>
      </w:r>
    </w:p>
    <w:p w:rsidR="00D05BBA" w:rsidRPr="00D05BBA" w:rsidRDefault="00D05BBA" w:rsidP="00D05BBA">
      <w:pPr>
        <w:jc w:val="center"/>
        <w:rPr>
          <w:rFonts w:ascii="Times New Roman" w:hAnsi="Times New Roman" w:cs="Times New Roman"/>
          <w:b/>
          <w:sz w:val="28"/>
          <w:szCs w:val="28"/>
        </w:rPr>
      </w:pPr>
      <w:r w:rsidRPr="00D05BBA">
        <w:rPr>
          <w:rFonts w:ascii="Times New Roman" w:hAnsi="Times New Roman" w:cs="Times New Roman"/>
          <w:b/>
          <w:sz w:val="28"/>
          <w:szCs w:val="28"/>
        </w:rPr>
        <w:t>Понятие экстремизма</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Нормативному регулированию борьбы с таким явлением, как экстремизм, посвящен, в частности, Федеральный закон от 25.07.2002 N 114-ФЗ "О противодействии экстремистской деятельности" (далее - Закон о противодействии экстремизму). Указанный Закон в ст. 1 содержит обширный перечень признаков, входящих в понятие экстремизма. В частности, к экстремизму (экстремистской деятельности) относятся: -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РФ), за исключением делимитации, демаркации, редемаркации </w:t>
      </w:r>
      <w:r w:rsidRPr="00D05BBA">
        <w:rPr>
          <w:rFonts w:ascii="Times New Roman" w:hAnsi="Times New Roman" w:cs="Times New Roman"/>
          <w:sz w:val="28"/>
          <w:szCs w:val="28"/>
        </w:rPr>
        <w:lastRenderedPageBreak/>
        <w:t xml:space="preserve">Государственной границы РФ с сопредельными государствами; - публичное оправдание терроризма и иная террористическая деятельность; - возбуждение социальной, расовой, национальной или религиозной розни; -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 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 организация и подготовка указанных деяний, а также подстрекательство к их осуществлению; -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В примечании 2 к ст. 282.1 УК РФ дано более лаконичное определение данного понятия для целей привлечения к уголовной ответственности за соответствующие преступления. Под преступлениями экстремистской направленности в УК РФ понимаются преступления, совершенные по мотивам политической, идеологической, расовой, национальной или религиозной </w:t>
      </w:r>
      <w:proofErr w:type="gramStart"/>
      <w:r w:rsidRPr="00D05BBA">
        <w:rPr>
          <w:rFonts w:ascii="Times New Roman" w:hAnsi="Times New Roman" w:cs="Times New Roman"/>
          <w:sz w:val="28"/>
          <w:szCs w:val="28"/>
        </w:rPr>
        <w:t>ненависти</w:t>
      </w:r>
      <w:proofErr w:type="gramEnd"/>
      <w:r w:rsidRPr="00D05BBA">
        <w:rPr>
          <w:rFonts w:ascii="Times New Roman" w:hAnsi="Times New Roman" w:cs="Times New Roman"/>
          <w:sz w:val="28"/>
          <w:szCs w:val="28"/>
        </w:rPr>
        <w:t xml:space="preserve"> или вражды либо по мотивам ненависти или вражды в отношении какой-либо социальной группы, предусмотренные соответствующими статьями Особенной части УК РФ. Согласно </w:t>
      </w:r>
      <w:proofErr w:type="spellStart"/>
      <w:r w:rsidRPr="00D05BBA">
        <w:rPr>
          <w:rFonts w:ascii="Times New Roman" w:hAnsi="Times New Roman" w:cs="Times New Roman"/>
          <w:sz w:val="28"/>
          <w:szCs w:val="28"/>
        </w:rPr>
        <w:t>пп</w:t>
      </w:r>
      <w:proofErr w:type="spellEnd"/>
      <w:r w:rsidRPr="00D05BBA">
        <w:rPr>
          <w:rFonts w:ascii="Times New Roman" w:hAnsi="Times New Roman" w:cs="Times New Roman"/>
          <w:sz w:val="28"/>
          <w:szCs w:val="28"/>
        </w:rPr>
        <w:t xml:space="preserve">. 4 п. 4 Стратегии противодействия экстремизму проявления экстремизма (экстремистские проявления) - общественно опасные противоправные действия, совершаемые по мотивам ненависти или вражды по признакам политической, идеологической, расовой, языковой, национальной или религиозной принадлежности либо по мотивам ненависти или вражды в отношении какой-либо социальной группы или представителей органов публичной власти, способствующие возникновению (межэтнических), или обострению межнациональных межконфессиональных и региональных конфликтов, угрожающие конституционному строю РФ, суверенитету, единству и территориальной целостности РФ или направленные на умышленное искажение истории, реабилитацию нацизма, а также иные публичные действия, направленные на разжигание ненависти. </w:t>
      </w:r>
    </w:p>
    <w:p w:rsidR="00D05BBA" w:rsidRPr="00D05BBA" w:rsidRDefault="00D05BBA" w:rsidP="00D05BBA">
      <w:pPr>
        <w:jc w:val="center"/>
        <w:rPr>
          <w:rFonts w:ascii="Times New Roman" w:hAnsi="Times New Roman" w:cs="Times New Roman"/>
          <w:b/>
          <w:sz w:val="28"/>
          <w:szCs w:val="28"/>
        </w:rPr>
      </w:pPr>
      <w:r w:rsidRPr="00D05BBA">
        <w:rPr>
          <w:rFonts w:ascii="Times New Roman" w:hAnsi="Times New Roman" w:cs="Times New Roman"/>
          <w:b/>
          <w:sz w:val="28"/>
          <w:szCs w:val="28"/>
        </w:rPr>
        <w:t>Ответственность за экстремизм</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lastRenderedPageBreak/>
        <w:t xml:space="preserve">На основании ст. 15 Закона о противодействии экстремизму 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 К примеру,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если эти действия не содержат признаков уголовно наказуемого деяния,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 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иных экстремистских материалов, указанных в п. 3 ст. 1 Закона о противодействии экстремизму, либо их производство или хранение в целях массового распространения, за исключением случаев, предусмотренных ч. 4.1 и 6 ст. 13.15, ст. ст. 13.37, 20.3 и ст. 20.3.2 КоАП РФ, если эти действия не содержат признаков уголовно наказуемого деяния. В УК РФ, в частности, содержатся следующие составы преступлений экстремистской направленности: - публичные призывы (т.е. обращения к другим лицам в любой форме) к осуществлению экстремистской деятельности (ст. 280 УК РФ, п. 4 Постановления Пленума Верховного Суда РФ от 28.06.2011 N 11); - публичные призывы к осуществлению действий, направленных на нарушение территориальной целостности РФ (ст. 280.1 УК РФ); - действия (например, высказывания о необходимости противоправных действий),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 телекоммуникационных сетей, включая сеть Интернет, совершенные лицом после его привлечения к административной ответственности за аналогичное деяние в течение 1 года (ч. 1 ст. 282 УК РФ, п. 7 Постановления Пленума Верховного Суда РФ от 28.06.2011 N 11); Как указано в </w:t>
      </w:r>
      <w:proofErr w:type="spellStart"/>
      <w:r w:rsidRPr="00D05BBA">
        <w:rPr>
          <w:rFonts w:ascii="Times New Roman" w:hAnsi="Times New Roman" w:cs="Times New Roman"/>
          <w:sz w:val="28"/>
          <w:szCs w:val="28"/>
        </w:rPr>
        <w:t>абз</w:t>
      </w:r>
      <w:proofErr w:type="spellEnd"/>
      <w:r w:rsidRPr="00D05BBA">
        <w:rPr>
          <w:rFonts w:ascii="Times New Roman" w:hAnsi="Times New Roman" w:cs="Times New Roman"/>
          <w:sz w:val="28"/>
          <w:szCs w:val="28"/>
        </w:rPr>
        <w:t xml:space="preserve">. 2 п. 2.1 Постановления Пленума Верховного Суда РФ от 28.06.2011 N 11, с учетом содержания диспозиции ст. ст. 280, 280.1, 282 УК РФ к данным, указывающим на признаки соответствующих преступлений, </w:t>
      </w:r>
      <w:r w:rsidRPr="00D05BBA">
        <w:rPr>
          <w:rFonts w:ascii="Times New Roman" w:hAnsi="Times New Roman" w:cs="Times New Roman"/>
          <w:sz w:val="28"/>
          <w:szCs w:val="28"/>
        </w:rPr>
        <w:lastRenderedPageBreak/>
        <w:t xml:space="preserve">относится, например, не только сам факт размещения в сети Интернет или иной информационно-телекоммуникационной сети текста, изображения, аудио- или видеофайла, содержащего признаки призывов к осуществлению экстремистской деятельности или действий, направленных на нарушение территориальной целостности РФ, возбуждения ненависти либо вражды, унижения достоинства человека либо группы лиц, но и иные сведения, указывающие на общественную опасность деяния, в том числе на направленность умысла, мотив совершения соответствующих действий. Согласно </w:t>
      </w:r>
      <w:proofErr w:type="spellStart"/>
      <w:r w:rsidRPr="00D05BBA">
        <w:rPr>
          <w:rFonts w:ascii="Times New Roman" w:hAnsi="Times New Roman" w:cs="Times New Roman"/>
          <w:sz w:val="28"/>
          <w:szCs w:val="28"/>
        </w:rPr>
        <w:t>абз</w:t>
      </w:r>
      <w:proofErr w:type="spellEnd"/>
      <w:r w:rsidRPr="00D05BBA">
        <w:rPr>
          <w:rFonts w:ascii="Times New Roman" w:hAnsi="Times New Roman" w:cs="Times New Roman"/>
          <w:sz w:val="28"/>
          <w:szCs w:val="28"/>
        </w:rPr>
        <w:t xml:space="preserve">. 2 п. 8 Постановления Пленума Верховного Суда РФ от 28.06.2011 N 11 размещение лицом в сети Интернет или иной информационно телекоммуникационной сети, в частности, на своей странице или на страницах других пользователей материала (например, видео-, аудио-, графического или текстового), созданного им самим или другим лицом, включая информацию, ранее признанную судом экстремистским материалом, может быть квалифицировано по ст. ст. 280, 280.1 или 282 УК РФ только в случаях, когда установлено, что лицо, разместившее такой материал, осознавало направленность деяния на нарушение основ конституционного строя, а также имело намерение побудить других лиц к осуществлению экстремистской деятельности, совершению действий, направленных на нарушение территориальной целостности РФ, либо цель возбудить ненависть или вражду, унизить достоинство человека или группы лиц по признакам пола, расы, национальности, языка, происхождения, отношения к религии либо принадлежности к какой-либо социальной группе; - создание экстремистского сообщества, руководство таким сообществом, его частью или входящими в такое сообщество структурными подразделениями,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участие в нем, склонение, вербовка и иное вовлечение лиц к участию в нем (ст. 282.1 УК РФ); - организация деятельности экстремистской организации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склонение, вербовка или иное вовлечение лица в деятельность экстремистской организации, а также участие в ее деятельности (ст. 282.2 УК РФ); - финансирование экстремистской деятельности (ст. 282.3 УК РФ); - неоднократные пропаганда либо публичное демонстрирование нацистской атрибутики или символики (в том числе сходных с ними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 282.4 УК РФ). Также обращаем внимание на то, </w:t>
      </w:r>
      <w:r w:rsidRPr="00D05BBA">
        <w:rPr>
          <w:rFonts w:ascii="Times New Roman" w:hAnsi="Times New Roman" w:cs="Times New Roman"/>
          <w:sz w:val="28"/>
          <w:szCs w:val="28"/>
        </w:rPr>
        <w:lastRenderedPageBreak/>
        <w:t xml:space="preserve">что на основании п. "е" ч. 1 ст. 63 УК РФ совершение преступления по мотивам политической, идеологической, расовой, национальной или религиозной </w:t>
      </w:r>
      <w:proofErr w:type="gramStart"/>
      <w:r w:rsidRPr="00D05BBA">
        <w:rPr>
          <w:rFonts w:ascii="Times New Roman" w:hAnsi="Times New Roman" w:cs="Times New Roman"/>
          <w:sz w:val="28"/>
          <w:szCs w:val="28"/>
        </w:rPr>
        <w:t>ненависти</w:t>
      </w:r>
      <w:proofErr w:type="gramEnd"/>
      <w:r w:rsidRPr="00D05BBA">
        <w:rPr>
          <w:rFonts w:ascii="Times New Roman" w:hAnsi="Times New Roman" w:cs="Times New Roman"/>
          <w:sz w:val="28"/>
          <w:szCs w:val="28"/>
        </w:rPr>
        <w:t xml:space="preserve"> или вражды либо по мотивам ненависти или вражды в отношении какой-либо социальной группы признается обстоятельством, отягчающим наказание. </w:t>
      </w:r>
    </w:p>
    <w:p w:rsidR="00D05BBA" w:rsidRPr="00D05BBA" w:rsidRDefault="00D05BBA" w:rsidP="00D05BBA">
      <w:pPr>
        <w:jc w:val="center"/>
        <w:rPr>
          <w:rFonts w:ascii="Times New Roman" w:hAnsi="Times New Roman" w:cs="Times New Roman"/>
          <w:b/>
          <w:sz w:val="28"/>
          <w:szCs w:val="28"/>
        </w:rPr>
      </w:pPr>
      <w:r w:rsidRPr="00D05BBA">
        <w:rPr>
          <w:rFonts w:ascii="Times New Roman" w:hAnsi="Times New Roman" w:cs="Times New Roman"/>
          <w:b/>
          <w:sz w:val="28"/>
          <w:szCs w:val="28"/>
        </w:rPr>
        <w:t>Меры по противодействию экстремизму</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 Для целей противодействия экстремизму применяется комплекс мер, предусмотренных законодательством. Согласно п. 35 Стратегии противодействия экстремизму задачами государственной политики в сфере противодействия экстремизму являются: </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1) повышение эффективности государственной системы мониторинга в сфере противодействия экстремизму, представляющей собой мероприятия по сбору, анализу и оценке информации о развитии общественно-политических, социально экономических и иных процессов, создающих условия для возникновения проявлений экстремизма; </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2) совершенствование законодательства РФ и правоприменительной практики в сфере противодействия экстремизму; </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3) консолидация усилий субъектов противодействия экстремизму и заинтересованных организаций; </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4) организация в средствах массовой информации и информационно 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 и </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5) повышение эффективности профилактики, выявления и пресечения преступлений административных направленности; правонарушений экстремистской</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 6) организация основанного на традиционных российских духовно нравственных ценностях информационного противодействия распространению экстремистской и иных деструктивных идеологий; </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7) повышение уровня патриотизма населения РФ. На основании ст. 5 Закона о противодействии экстремизму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Такие меры </w:t>
      </w:r>
      <w:r w:rsidRPr="00D05BBA">
        <w:rPr>
          <w:rFonts w:ascii="Times New Roman" w:hAnsi="Times New Roman" w:cs="Times New Roman"/>
          <w:sz w:val="28"/>
          <w:szCs w:val="28"/>
        </w:rPr>
        <w:lastRenderedPageBreak/>
        <w:t xml:space="preserve">закреплены специальными нормами законодательства. Например, на основании п. 7.1 ч. 1 ст.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сельского поселения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D05BBA" w:rsidRPr="00D05BBA" w:rsidRDefault="00D05BBA" w:rsidP="00D05BBA">
      <w:pPr>
        <w:jc w:val="center"/>
        <w:rPr>
          <w:rFonts w:ascii="Times New Roman" w:hAnsi="Times New Roman" w:cs="Times New Roman"/>
          <w:b/>
          <w:sz w:val="28"/>
          <w:szCs w:val="28"/>
        </w:rPr>
      </w:pPr>
      <w:r w:rsidRPr="00D05BBA">
        <w:rPr>
          <w:rFonts w:ascii="Times New Roman" w:hAnsi="Times New Roman" w:cs="Times New Roman"/>
          <w:b/>
          <w:sz w:val="28"/>
          <w:szCs w:val="28"/>
        </w:rPr>
        <w:t>Основания, порядок и последствия признания организации экстремистской</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На основании </w:t>
      </w:r>
      <w:proofErr w:type="spellStart"/>
      <w:r w:rsidRPr="00D05BBA">
        <w:rPr>
          <w:rFonts w:ascii="Times New Roman" w:hAnsi="Times New Roman" w:cs="Times New Roman"/>
          <w:sz w:val="28"/>
          <w:szCs w:val="28"/>
        </w:rPr>
        <w:t>пп</w:t>
      </w:r>
      <w:proofErr w:type="spellEnd"/>
      <w:r w:rsidRPr="00D05BBA">
        <w:rPr>
          <w:rFonts w:ascii="Times New Roman" w:hAnsi="Times New Roman" w:cs="Times New Roman"/>
          <w:sz w:val="28"/>
          <w:szCs w:val="28"/>
        </w:rPr>
        <w:t>. 1 п. 2.1 ст. 6 Федерального закона от 07.08.2001 N 115-ФЗ "О противодействии легализации (отмыванию) доходов, полученных преступным путем, и финансированию терроризма" основаниями для включения организации в перечень организаций и физических лиц, в отношении которых имеются сведения об их причастности к экстремистской деятельности или терроризму, является вступившее в законную силу решение суда РФ о ликвидации или запрете деятельности организации в связи с ее причастностью к экстремистской деятельности или терроризму. Согласно ст. 9 Закона о противодействии экстремизму в РФ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 В случае, предусмотренном ч. 4 ст. 7 Закона о противодействии экстремизму (</w:t>
      </w:r>
      <w:proofErr w:type="spellStart"/>
      <w:r w:rsidRPr="00D05BBA">
        <w:rPr>
          <w:rFonts w:ascii="Times New Roman" w:hAnsi="Times New Roman" w:cs="Times New Roman"/>
          <w:sz w:val="28"/>
          <w:szCs w:val="28"/>
        </w:rPr>
        <w:t>неустранение</w:t>
      </w:r>
      <w:proofErr w:type="spellEnd"/>
      <w:r w:rsidRPr="00D05BBA">
        <w:rPr>
          <w:rFonts w:ascii="Times New Roman" w:hAnsi="Times New Roman" w:cs="Times New Roman"/>
          <w:sz w:val="28"/>
          <w:szCs w:val="28"/>
        </w:rPr>
        <w:t xml:space="preserve"> причин вынесения предупреждения со стороны Генерального прокурора или выявление новых фактов с признаками экстремизма),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РФ или подчиненного ему соответствующего прокурора. По указанным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w:t>
      </w:r>
      <w:r w:rsidRPr="00D05BBA">
        <w:rPr>
          <w:rFonts w:ascii="Times New Roman" w:hAnsi="Times New Roman" w:cs="Times New Roman"/>
          <w:sz w:val="28"/>
          <w:szCs w:val="28"/>
        </w:rPr>
        <w:lastRenderedPageBreak/>
        <w:t xml:space="preserve">органа. В случае принятия судом решения о ликвидации общественного или религиозного объединения их региональные и другие структурные подразделения также подлежат ликвидации. Оставшееся после удовлетворения требований кредиторов имущество общественного или религиозного объединения либо иной организации, ликвидируемых по вышеуказанным основаниям, подлежит обращению в собственность РФ. Решение об обращении указанного имущества в собственность РФ выносится судом одновременно с решением о ликвидации общественного или религиозного объединения либо иной организации.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подлежит размещению на официальном сайте Минюста России в информационно-телекоммуникационной сети Интернет. Указанный перечень также подлежит опубликованию в "Российской газете". </w:t>
      </w:r>
    </w:p>
    <w:p w:rsidR="00D05BBA" w:rsidRPr="00D05BBA" w:rsidRDefault="00D05BBA" w:rsidP="00D05BBA">
      <w:pPr>
        <w:jc w:val="center"/>
        <w:rPr>
          <w:rFonts w:ascii="Times New Roman" w:hAnsi="Times New Roman" w:cs="Times New Roman"/>
          <w:b/>
          <w:sz w:val="28"/>
          <w:szCs w:val="28"/>
        </w:rPr>
      </w:pPr>
      <w:r w:rsidRPr="00D05BBA">
        <w:rPr>
          <w:rFonts w:ascii="Times New Roman" w:hAnsi="Times New Roman" w:cs="Times New Roman"/>
          <w:b/>
          <w:sz w:val="28"/>
          <w:szCs w:val="28"/>
        </w:rPr>
        <w:t>Информационные технологии: понятие, применение при совершении преступлений</w:t>
      </w:r>
    </w:p>
    <w:p w:rsid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Согласно п. 2 ст. 2 Федерального закона от 27 июля 2006 г. N 149-ФЗ "Об информации, информационных технологиях и о защите информации" информационные технологии представляют собой осуществляемый посредством информационно-телекоммуникационной сети комплекс процессов, методов поиска, сбора, хранения, обработки, предоставления и распространения информации, а также способов осуществления указанных процессов и методов. При этом в п. 4 указано определение информационно-телекоммуникационной сети, являющейся технологической системой, которая предназначена для того, чтобы передавать по линиям связи информацию (доступ к последней обеспечивается через использование средств вычислительной техники). Установленное определение информационных технологий отражает общеправовое понимание данного термина, однако сквозь призму уголовного права информационные технологии могут выступать в качестве обстановки совершения преступлений. Спектр соответствующих преступлений весьма широк, примерами служат, в частности, составы, предусмотренные ч. 3 ст. 141 (неправомерное вмешательство в работу ГАС "Выборы"), п. "г" ч. 3 ст. 158, ст. 159.3, п. "д" ч. 2 ст. 110 (доведение до самоубийства, совершенное с использованием информационно-телекоммуникационных сетей, включая сеть Интернет), ст. 138 (нарушение тайны переписки, телефонных переговоров, почтовых, телеграфных или иных сообщений), п. "в" ч. 2 ст. 151.2 (вовлечение несовершеннолетнего в совершение действий, который представляют опасность для жизни несовершеннолетнего, что совершено с использованием информационно-телекоммуникационных сетей, в том числе сети Интернет), ст. 171.2 (незаконные организация и проведение азартных игр, реализованные </w:t>
      </w:r>
      <w:r w:rsidRPr="00D05BBA">
        <w:rPr>
          <w:rFonts w:ascii="Times New Roman" w:hAnsi="Times New Roman" w:cs="Times New Roman"/>
          <w:sz w:val="28"/>
          <w:szCs w:val="28"/>
        </w:rPr>
        <w:lastRenderedPageBreak/>
        <w:t xml:space="preserve">в сети Интернет), ст. 185.3 (манипулирование рынком через средства информационно телекоммуникационной сети, в том числе сети Интернет), ст. 205.2 УК РФ (публичные призывы к осуществлению террористической деятельности, публичное оправдание терроризма или его пропаганда, совершенные с использованием информационно-телекоммуникационных сетей) и многие другие. Соответственно, использование информационных технологий для совершения хищения, например, безналичных денежных средств предполагает применение удаленных методов, позволяющих получить доступ, в частности, к банковским счетам потерпевших или к банковским коммуникациям, посредством которых возможно осуществление распоряжения денежными средствами клиента банковской организации. В целом развитие хищений, совершаемых с использованием информационных технологий, связано с распространением современных технологий и средств, обеспечивающих доступ к сети Интернет, а также с широким использованием ресурсов указанной сети. Таким образом, обеспечивается функционирование соответствующей обстановки совершения хищений - цифровой среды. </w:t>
      </w:r>
    </w:p>
    <w:p w:rsidR="00D05BBA" w:rsidRPr="00D05BBA" w:rsidRDefault="00D05BBA" w:rsidP="00D05BBA">
      <w:pPr>
        <w:jc w:val="center"/>
        <w:rPr>
          <w:rFonts w:ascii="Times New Roman" w:hAnsi="Times New Roman" w:cs="Times New Roman"/>
          <w:b/>
          <w:sz w:val="28"/>
          <w:szCs w:val="28"/>
        </w:rPr>
      </w:pPr>
      <w:r w:rsidRPr="00D05BBA">
        <w:rPr>
          <w:rFonts w:ascii="Times New Roman" w:hAnsi="Times New Roman" w:cs="Times New Roman"/>
          <w:b/>
          <w:sz w:val="28"/>
          <w:szCs w:val="28"/>
        </w:rPr>
        <w:t>Кража безналичных денежных средств, совершаемая с применением информационных технологий</w:t>
      </w:r>
    </w:p>
    <w:p w:rsidR="00DF7858"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Как следует из ч. 1 ст. 158 УК РФ, кража - это тайное хищение чужого имущества. В качестве кражи квалифицируются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 Вместе с тем если присутствующее при незаконном изъятии чужого имущества лицо не сознает противоправность этих действий либо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ст. 161 УК РФ. Состав преступления, предусмотренный п. "г" ч. 3 ст. 158 (кража, совершенная с банковского счета, а равно в отношении электронных денежных средств) УК РФ, является квалифицированным. Он введен в УК РФ в 2018 г. одновременно с составом мошенничества, предусмотренного п. "в" ч. 3 ст. 159.6 (мошенничество в сфере компьютерной информации, которое совершено группой лиц по предварительному сговору или с причинением значительного ущерба гражданину, а также с банковского счета или в отношении электронных </w:t>
      </w:r>
      <w:r w:rsidRPr="00D05BBA">
        <w:rPr>
          <w:rFonts w:ascii="Times New Roman" w:hAnsi="Times New Roman" w:cs="Times New Roman"/>
          <w:sz w:val="28"/>
          <w:szCs w:val="28"/>
        </w:rPr>
        <w:lastRenderedPageBreak/>
        <w:t xml:space="preserve">денежных средств) УК РФ. Законодателем установлены повышенные меры уголовной ответственности за совершение кражи с банковского счета. С точки зрения санкции ч. 3 ст. 158 УК РФ кража, совершенная с банковского счета, приравнивается к краже, совершенной с незаконным проникновением в жилище, из нефтепровода, нефтепродуктопровода, газопровода, в крупном размере. Тем самым условно уравнивается степень общественной опасности всех указанных составов. Тем самым для квалификации содеянного по п. "г" ч. 3 ст. 158 УК РФ необходимо наличие не только факта незаконного завладения чужой банковской картой, но также наличие тайного характера ее изъятия (например, когда преступник вынул карту из кармана потерпевшего, что было незаметно для последнего), отсутствие признаков мошенничества, совершенного с банковского счета. Критерием разграничения здесь служит отсутствие обмана потерпевшего или злоупотребления доверием, то есть факт изъятия не облекается в правомерную оболочку, предварительно не создается видимость законного завладения чужой банковской картой. </w:t>
      </w:r>
    </w:p>
    <w:p w:rsidR="00DF7858" w:rsidRPr="00DF7858" w:rsidRDefault="00D05BBA" w:rsidP="00DF7858">
      <w:pPr>
        <w:jc w:val="center"/>
        <w:rPr>
          <w:rFonts w:ascii="Times New Roman" w:hAnsi="Times New Roman" w:cs="Times New Roman"/>
          <w:b/>
          <w:sz w:val="28"/>
          <w:szCs w:val="28"/>
        </w:rPr>
      </w:pPr>
      <w:r w:rsidRPr="00DF7858">
        <w:rPr>
          <w:rFonts w:ascii="Times New Roman" w:hAnsi="Times New Roman" w:cs="Times New Roman"/>
          <w:b/>
          <w:sz w:val="28"/>
          <w:szCs w:val="28"/>
        </w:rPr>
        <w:t>Мошенничество в отношении безналичных денежных средств, совершаемое с применением информационных технологий</w:t>
      </w:r>
      <w:bookmarkStart w:id="0" w:name="_GoBack"/>
      <w:bookmarkEnd w:id="0"/>
    </w:p>
    <w:p w:rsidR="003F6339" w:rsidRPr="00D05BBA" w:rsidRDefault="00D05BBA" w:rsidP="00D05BBA">
      <w:pPr>
        <w:jc w:val="both"/>
        <w:rPr>
          <w:rFonts w:ascii="Times New Roman" w:hAnsi="Times New Roman" w:cs="Times New Roman"/>
          <w:sz w:val="28"/>
          <w:szCs w:val="28"/>
        </w:rPr>
      </w:pPr>
      <w:r w:rsidRPr="00D05BBA">
        <w:rPr>
          <w:rFonts w:ascii="Times New Roman" w:hAnsi="Times New Roman" w:cs="Times New Roman"/>
          <w:sz w:val="28"/>
          <w:szCs w:val="28"/>
        </w:rPr>
        <w:t xml:space="preserve">Согласно ч. 1 ст. 159 УК РФ мошенничество - хищение чужого имущества или приобретение права на чужое имущество посредством обмана или злоупотребления доверием. Обман и злоупотребление доверием используются преступником для воздействия на владельца имущества или другое лицо в целях передачи последними имущества или права на него иному лицу либо в целях беспрепятственного изъятия имущества или приобретения права на него иным лицом. Обман, выступая в качестве способа совершения хищения или приобретения права на чужое имущество, может предполагать: сознательное сообщение (представление), сведения, являющиеся заведомо ложными и не соответствующими действительному положению вещей, умолчание об истинных фактах, умышленные действия (например, предоставление фальсифицированного товара или другого предмета сделки, использование различных обманных приемов при расчетах за товары или услуги или при игре в азартные игры, имитация кассовых расчетов и т.д.), что имеет цель - ввести владельца имущества или иного лица в заблуждение. Злоупотребление доверием при мошенничестве как способ совершения последнего может состоять в использовании с корыстной целью доверительных отношений с владельцем имущества или иным лицом, уполномоченным принимать решения о передаче этого имущества третьим лицам. Доверие может быть обусловлено различными обстоятельствами, </w:t>
      </w:r>
      <w:proofErr w:type="gramStart"/>
      <w:r w:rsidRPr="00D05BBA">
        <w:rPr>
          <w:rFonts w:ascii="Times New Roman" w:hAnsi="Times New Roman" w:cs="Times New Roman"/>
          <w:sz w:val="28"/>
          <w:szCs w:val="28"/>
        </w:rPr>
        <w:t>например</w:t>
      </w:r>
      <w:proofErr w:type="gramEnd"/>
      <w:r w:rsidRPr="00D05BBA">
        <w:rPr>
          <w:rFonts w:ascii="Times New Roman" w:hAnsi="Times New Roman" w:cs="Times New Roman"/>
          <w:sz w:val="28"/>
          <w:szCs w:val="28"/>
        </w:rPr>
        <w:t xml:space="preserve"> служебным положением лица либо его личными отношениями с потерпевшим. Злоупотребление доверием также имеет место в случаях принятия на себя лицом обязательств при заведомом отсутствии у него намерения их выполнить с целью безвозмездного обращения в свою пользу или в пользу третьих лиц </w:t>
      </w:r>
      <w:r w:rsidRPr="00D05BBA">
        <w:rPr>
          <w:rFonts w:ascii="Times New Roman" w:hAnsi="Times New Roman" w:cs="Times New Roman"/>
          <w:sz w:val="28"/>
          <w:szCs w:val="28"/>
        </w:rPr>
        <w:lastRenderedPageBreak/>
        <w:t>чужого имущества или приобретения права на него. Примерами соответствующих действий являются получение физическим лицом кредита, аванса за выполнение работ, услуг, предоплаты за поставку товара, если оно заведомо не намеревалось возвращать долг или иным образом исполнять свои обязательства. Квалификация содеянного преступником в качестве классического мошенничества (ст. 159 УК РФ) осуществляется при отсутствии специальных признаков, вынесенных в отдельные статьи, посвященные мошенничеству. Для совершения такого преступления характерно применение обмана или злоупотребления доверием потерпевшего. Использование информационных технологий при этом проявляется в способе связи, то есть установления контакта преступника и потерпевшего посредством применения удаленных средств (смартфона, компьютера и т.д.). В сущности, данная статья не имеет принципиальных отличий от хищений иного имущества, отличного от безналичных денежных средств. Оно лишь связывается с использованием информационных технологий, позволяющих упростить процесс совершения преступления, избежать непосредственного контакта преступника и потерпевшего. Мошенничество отличается от кражи тем, что изъятие безналичных денежных средств осуществляется открыто, но прикрывается правомерными целями. Потерпевший, находясь в состоянии обмана или заблуждения, сам предоставляет преступнику необходимые средства для обращения собственного имущества в пользу правонарушителя или третьих лиц. Такой вид мошенничества универсален для всех иных, не выделенных в отдельные нормы составов хищений, совершаемых с применением обмана или злоупотребления доверием. Мошенничество, совершаемое с использованием информационных технологий в сфере кредитования (ст. 159.1 УК РФ), отличается сферой своего проявления и субъектом преступления. Преступник посягает на право собственности банковских и кредитных организаций посредством удаленного представления недостоверных сведений о себе, месте работы или уровне доходов. Тем самым происходит достижение соответствия виновного лица требованиям соответствующей организации, которые предъявляются к лицам, претендующим на получение кредитов и займов.</w:t>
      </w:r>
    </w:p>
    <w:sectPr w:rsidR="003F6339" w:rsidRPr="00D05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90"/>
    <w:rsid w:val="003F6339"/>
    <w:rsid w:val="00787B90"/>
    <w:rsid w:val="00D05BBA"/>
    <w:rsid w:val="00DF7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08A0"/>
  <w15:chartTrackingRefBased/>
  <w15:docId w15:val="{305F768C-6A75-49E2-AEFF-D54661C2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3940</Words>
  <Characters>22463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2</cp:revision>
  <dcterms:created xsi:type="dcterms:W3CDTF">2025-03-27T07:14:00Z</dcterms:created>
  <dcterms:modified xsi:type="dcterms:W3CDTF">2025-03-27T07:14:00Z</dcterms:modified>
</cp:coreProperties>
</file>