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0C" w:rsidRPr="00E4060C" w:rsidRDefault="00E4060C" w:rsidP="00E4060C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E4060C">
        <w:rPr>
          <w:rFonts w:ascii="Times New Roman" w:eastAsia="Calibri" w:hAnsi="Times New Roman" w:cs="Times New Roman"/>
          <w:b/>
          <w:bCs/>
          <w:szCs w:val="24"/>
        </w:rPr>
        <w:t>АДМИНИСТРАЦИЯ</w:t>
      </w:r>
    </w:p>
    <w:p w:rsidR="00E4060C" w:rsidRPr="00E4060C" w:rsidRDefault="00E4060C" w:rsidP="00E4060C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E4060C">
        <w:rPr>
          <w:rFonts w:ascii="Times New Roman" w:eastAsia="Calibri" w:hAnsi="Times New Roman" w:cs="Times New Roman"/>
          <w:b/>
          <w:bCs/>
          <w:szCs w:val="24"/>
        </w:rPr>
        <w:t>МУНИЦИПАЛЬНОГО ОБРАЗОВАНИЯ</w:t>
      </w:r>
    </w:p>
    <w:p w:rsidR="00E4060C" w:rsidRPr="00E4060C" w:rsidRDefault="00E4060C" w:rsidP="00E4060C">
      <w:pPr>
        <w:ind w:firstLine="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E4060C">
        <w:rPr>
          <w:rFonts w:ascii="Times New Roman" w:eastAsia="Calibri" w:hAnsi="Times New Roman" w:cs="Times New Roman"/>
          <w:b/>
          <w:bCs/>
          <w:szCs w:val="24"/>
        </w:rPr>
        <w:t xml:space="preserve">  ИМАНГУЛОВСКИЙ СЕЛЬСОВЕТ </w:t>
      </w:r>
    </w:p>
    <w:p w:rsidR="00E4060C" w:rsidRPr="00E4060C" w:rsidRDefault="00E4060C" w:rsidP="00E4060C">
      <w:pPr>
        <w:keepNext/>
        <w:keepLines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</w:rPr>
      </w:pPr>
      <w:r w:rsidRPr="00E4060C">
        <w:rPr>
          <w:rFonts w:ascii="Times New Roman" w:eastAsia="Times New Roman" w:hAnsi="Times New Roman" w:cs="Times New Roman"/>
          <w:b/>
          <w:bCs/>
          <w:szCs w:val="24"/>
        </w:rPr>
        <w:t>ОКТЯБРЬСКОГО РАЙОНА ОРЕНБУРГСКОЙ ОБЛАСТИ</w:t>
      </w:r>
    </w:p>
    <w:p w:rsidR="00E4060C" w:rsidRPr="00E4060C" w:rsidRDefault="00E4060C" w:rsidP="00E4060C">
      <w:pPr>
        <w:ind w:firstLine="0"/>
        <w:jc w:val="left"/>
        <w:rPr>
          <w:rFonts w:ascii="Times New Roman" w:eastAsia="Calibri" w:hAnsi="Times New Roman" w:cs="Times New Roman"/>
          <w:b/>
          <w:szCs w:val="24"/>
        </w:rPr>
      </w:pPr>
    </w:p>
    <w:p w:rsidR="00E4060C" w:rsidRPr="00E4060C" w:rsidRDefault="00E4060C" w:rsidP="00E4060C">
      <w:pPr>
        <w:ind w:firstLine="0"/>
        <w:jc w:val="center"/>
        <w:rPr>
          <w:rFonts w:ascii="Times New Roman" w:eastAsia="Calibri" w:hAnsi="Times New Roman" w:cs="Times New Roman"/>
          <w:b/>
          <w:spacing w:val="52"/>
          <w:szCs w:val="24"/>
        </w:rPr>
      </w:pPr>
      <w:r w:rsidRPr="00E4060C">
        <w:rPr>
          <w:rFonts w:ascii="Times New Roman" w:eastAsia="Calibri" w:hAnsi="Times New Roman" w:cs="Times New Roman"/>
          <w:b/>
          <w:spacing w:val="52"/>
          <w:szCs w:val="24"/>
        </w:rPr>
        <w:t>ПОСТАНОВЛЕНИЕ</w:t>
      </w:r>
    </w:p>
    <w:p w:rsidR="00E4060C" w:rsidRPr="00E4060C" w:rsidRDefault="00E4060C" w:rsidP="00E4060C">
      <w:pPr>
        <w:ind w:firstLine="0"/>
        <w:jc w:val="left"/>
        <w:rPr>
          <w:rFonts w:ascii="Times New Roman" w:eastAsia="Calibri" w:hAnsi="Times New Roman" w:cs="Times New Roman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3284"/>
        <w:gridCol w:w="3283"/>
      </w:tblGrid>
      <w:tr w:rsidR="004146A8" w:rsidRPr="00E4060C" w:rsidTr="004146A8">
        <w:tc>
          <w:tcPr>
            <w:tcW w:w="3284" w:type="dxa"/>
            <w:shd w:val="clear" w:color="auto" w:fill="auto"/>
          </w:tcPr>
          <w:p w:rsidR="00E4060C" w:rsidRPr="00E4060C" w:rsidRDefault="005B08A5" w:rsidP="00E4060C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85" w:type="dxa"/>
            <w:shd w:val="clear" w:color="auto" w:fill="auto"/>
          </w:tcPr>
          <w:p w:rsidR="00E4060C" w:rsidRPr="00E4060C" w:rsidRDefault="00E4060C" w:rsidP="004146A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60C">
              <w:rPr>
                <w:rFonts w:ascii="Times New Roman" w:eastAsia="Calibri" w:hAnsi="Times New Roman" w:cs="Times New Roman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  <w:shd w:val="clear" w:color="auto" w:fill="auto"/>
          </w:tcPr>
          <w:p w:rsidR="00E4060C" w:rsidRPr="00E4060C" w:rsidRDefault="00E4060C" w:rsidP="005B08A5">
            <w:pPr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6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5B08A5">
              <w:rPr>
                <w:rFonts w:ascii="Times New Roman" w:eastAsia="Calibri" w:hAnsi="Times New Roman" w:cs="Times New Roman"/>
                <w:sz w:val="28"/>
                <w:szCs w:val="28"/>
              </w:rPr>
              <w:t>33-п</w:t>
            </w:r>
          </w:p>
        </w:tc>
      </w:tr>
    </w:tbl>
    <w:p w:rsidR="00E4060C" w:rsidRPr="00E4060C" w:rsidRDefault="00E4060C" w:rsidP="00E4060C">
      <w:pPr>
        <w:ind w:right="-142" w:firstLine="0"/>
        <w:jc w:val="left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E4060C" w:rsidRPr="00E4060C" w:rsidRDefault="00E4060C" w:rsidP="00E4060C">
      <w:pPr>
        <w:spacing w:after="16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60C" w:rsidRPr="00E4060C" w:rsidRDefault="00E4060C" w:rsidP="00E4060C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060C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E4060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E4060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E4060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E4060C" w:rsidRPr="00E4060C" w:rsidRDefault="00E4060C" w:rsidP="00E4060C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060C" w:rsidRPr="00E4060C" w:rsidRDefault="00E4060C" w:rsidP="00E4060C">
      <w:pPr>
        <w:spacing w:after="160" w:line="25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4B6870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>» п о с т а н о в л я е т:</w:t>
      </w:r>
    </w:p>
    <w:p w:rsidR="00E4060C" w:rsidRPr="00E4060C" w:rsidRDefault="00E4060C" w:rsidP="00E4060C">
      <w:pPr>
        <w:widowControl w:val="0"/>
        <w:autoSpaceDE w:val="0"/>
        <w:autoSpaceDN w:val="0"/>
        <w:adjustRightInd w:val="0"/>
        <w:spacing w:before="108" w:after="108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060C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E4060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E4060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E4060C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Pr="00E4060C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согласно приложению.</w:t>
      </w:r>
    </w:p>
    <w:p w:rsidR="00E4060C" w:rsidRPr="00E4060C" w:rsidRDefault="00E4060C" w:rsidP="00E4060C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ind w:firstLine="709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Признать утратившим силу постановление №33-п от 11.04.2025 «Об утверждении административного регламента </w:t>
      </w:r>
      <w:r w:rsidRPr="00E4060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  <w:t xml:space="preserve">предоставления муниципальной услуги </w:t>
      </w:r>
      <w:r w:rsidRPr="00E4060C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E4060C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E4060C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</w:p>
    <w:p w:rsidR="00E4060C" w:rsidRPr="00E4060C" w:rsidRDefault="00E4060C" w:rsidP="00E4060C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>3. Контроль за исполнением настоящего постановления оставляю за собой;</w:t>
      </w:r>
    </w:p>
    <w:p w:rsidR="00E4060C" w:rsidRPr="00E4060C" w:rsidRDefault="00E4060C" w:rsidP="00E4060C">
      <w:pPr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E406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Настоящее постановление вступает в силу после его </w:t>
      </w:r>
      <w:hyperlink r:id="rId7" w:history="1">
        <w:r w:rsidRPr="00E4060C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официального опубликования</w:t>
        </w:r>
      </w:hyperlink>
      <w:r w:rsidRPr="00E4060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в порядке, определенном Уставом муниципального образования Имангуловский сельсовет и на официальном сайте администрации Имангуловского сельсовета в сети «Интернет».</w:t>
      </w:r>
    </w:p>
    <w:p w:rsidR="00E4060C" w:rsidRPr="00E4060C" w:rsidRDefault="00E4060C" w:rsidP="00E4060C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60C" w:rsidRPr="00E4060C" w:rsidRDefault="00E4060C" w:rsidP="00E4060C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>Глава муниципального образования                                             А.А.Исанчурин</w:t>
      </w:r>
    </w:p>
    <w:p w:rsidR="00E4060C" w:rsidRPr="00E4060C" w:rsidRDefault="00E4060C" w:rsidP="00E4060C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60C" w:rsidRPr="00E4060C" w:rsidRDefault="00E4060C" w:rsidP="00E4060C">
      <w:pPr>
        <w:spacing w:after="160" w:line="25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60C"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в дело, официальный сайт, прокуратуре</w:t>
      </w:r>
    </w:p>
    <w:tbl>
      <w:tblPr>
        <w:tblW w:w="3868" w:type="dxa"/>
        <w:tblInd w:w="5778" w:type="dxa"/>
        <w:tblLook w:val="04A0" w:firstRow="1" w:lastRow="0" w:firstColumn="1" w:lastColumn="0" w:noHBand="0" w:noVBand="1"/>
      </w:tblPr>
      <w:tblGrid>
        <w:gridCol w:w="3868"/>
      </w:tblGrid>
      <w:tr w:rsidR="00E4060C" w:rsidRPr="00E4060C" w:rsidTr="00CB5530">
        <w:trPr>
          <w:trHeight w:val="1701"/>
        </w:trPr>
        <w:tc>
          <w:tcPr>
            <w:tcW w:w="3868" w:type="dxa"/>
          </w:tcPr>
          <w:p w:rsidR="00E4060C" w:rsidRPr="00E4060C" w:rsidRDefault="00E4060C" w:rsidP="00E4060C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060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</w:p>
          <w:p w:rsidR="00E4060C" w:rsidRPr="00E4060C" w:rsidRDefault="00E4060C" w:rsidP="00E4060C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060C"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 МО Имангуловский  сельсовет</w:t>
            </w:r>
          </w:p>
          <w:p w:rsidR="00E4060C" w:rsidRPr="00E4060C" w:rsidRDefault="00E4060C" w:rsidP="00E4060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="Times New Roman" w:hAnsi="Times New Roman CYR" w:cs="Times New Roman CYR"/>
                <w:szCs w:val="24"/>
              </w:rPr>
            </w:pPr>
            <w:r w:rsidRPr="00E4060C">
              <w:rPr>
                <w:rFonts w:ascii="Times New Roman CYR" w:eastAsia="Times New Roman" w:hAnsi="Times New Roman CYR" w:cs="Times New Roman CYR"/>
                <w:szCs w:val="24"/>
              </w:rPr>
              <w:t xml:space="preserve">от </w:t>
            </w:r>
            <w:r w:rsidR="005B08A5">
              <w:rPr>
                <w:rFonts w:ascii="Times New Roman CYR" w:eastAsia="Times New Roman" w:hAnsi="Times New Roman CYR" w:cs="Times New Roman CYR"/>
                <w:szCs w:val="24"/>
              </w:rPr>
              <w:t>06.05.2026 №33-п</w:t>
            </w:r>
            <w:bookmarkStart w:id="0" w:name="_GoBack"/>
            <w:bookmarkEnd w:id="0"/>
          </w:p>
        </w:tc>
      </w:tr>
    </w:tbl>
    <w:p w:rsidR="00E4060C" w:rsidRPr="00E4060C" w:rsidRDefault="00E4060C" w:rsidP="00E4060C">
      <w:pPr>
        <w:ind w:right="-142" w:firstLine="0"/>
        <w:jc w:val="left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3B4B1D" w:rsidRDefault="003B4B1D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3B4B1D" w:rsidRDefault="009E53C4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А</w:t>
      </w:r>
      <w:r w:rsidR="00CC2EC0">
        <w:rPr>
          <w:rFonts w:ascii="Tinos" w:eastAsia="Tinos" w:hAnsi="Tinos" w:cs="Tinos"/>
          <w:b/>
          <w:color w:val="000000"/>
          <w:sz w:val="28"/>
        </w:rPr>
        <w:t xml:space="preserve">дминистративный регламент предоставления муниципальной услуги </w:t>
      </w:r>
      <w:bookmarkStart w:id="1" w:name="sub_2000"/>
      <w:r w:rsidR="00CC2EC0"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</w:p>
    <w:bookmarkEnd w:id="1"/>
    <w:p w:rsidR="003B4B1D" w:rsidRDefault="003B4B1D">
      <w:pPr>
        <w:jc w:val="center"/>
        <w:rPr>
          <w:rFonts w:ascii="Tinos" w:eastAsia="Tinos" w:hAnsi="Tinos" w:cs="Tinos"/>
          <w:b/>
          <w:sz w:val="28"/>
        </w:rPr>
      </w:pPr>
    </w:p>
    <w:p w:rsidR="003B4B1D" w:rsidRDefault="00CC2EC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3B4B1D" w:rsidRDefault="003B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3B4B1D" w:rsidRDefault="003B4B1D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3B4B1D" w:rsidRDefault="00CC2EC0" w:rsidP="009E53C4">
      <w:pPr>
        <w:ind w:firstLine="709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9E53C4">
        <w:rPr>
          <w:rFonts w:ascii="Tinos" w:eastAsia="Tinos" w:hAnsi="Tinos" w:cs="Tinos"/>
          <w:color w:val="000000"/>
          <w:sz w:val="28"/>
        </w:rPr>
        <w:t>Администрации муниципального образования Имангуловский сельсовет.</w:t>
      </w:r>
    </w:p>
    <w:p w:rsidR="003B4B1D" w:rsidRDefault="00CC2EC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3B4B1D" w:rsidRDefault="003B4B1D">
      <w:pPr>
        <w:pStyle w:val="af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8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3B4B1D" w:rsidRDefault="00CC2EC0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3B4B1D" w:rsidRDefault="003B4B1D">
      <w:pPr>
        <w:pStyle w:val="af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3B4B1D" w:rsidRDefault="003B4B1D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3B4B1D" w:rsidRDefault="00CC2EC0">
      <w:pPr>
        <w:pStyle w:val="af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3B4B1D" w:rsidRDefault="003B4B1D">
      <w:pPr>
        <w:pStyle w:val="af9"/>
        <w:rPr>
          <w:rFonts w:ascii="TimesNewRoman" w:eastAsia="TimesNewRoman" w:hAnsi="TimesNewRoman" w:cs="TimesNewRoman"/>
          <w:highlight w:val="yellow"/>
        </w:rPr>
      </w:pPr>
    </w:p>
    <w:p w:rsidR="003B4B1D" w:rsidRDefault="003B4B1D">
      <w:pPr>
        <w:pStyle w:val="af9"/>
        <w:rPr>
          <w:rFonts w:ascii="TimesNewRoman" w:eastAsia="TimesNewRoman" w:hAnsi="TimesNewRoman" w:cs="TimesNewRoman"/>
          <w:color w:val="FF0000"/>
        </w:rPr>
      </w:pPr>
    </w:p>
    <w:p w:rsidR="003B4B1D" w:rsidRDefault="00CC2EC0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2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3B4B1D" w:rsidRDefault="003B4B1D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3" w:name="sub_2021"/>
      <w:bookmarkEnd w:id="2"/>
      <w:r>
        <w:rPr>
          <w:rFonts w:ascii="Tinos" w:eastAsia="Tinos" w:hAnsi="Tinos" w:cs="Tinos"/>
          <w:b/>
          <w:color w:val="000000"/>
          <w:sz w:val="28"/>
        </w:rPr>
        <w:lastRenderedPageBreak/>
        <w:t>Наименование Услуги</w:t>
      </w:r>
    </w:p>
    <w:p w:rsidR="003B4B1D" w:rsidRDefault="003B4B1D">
      <w:pPr>
        <w:pStyle w:val="af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4" w:name="sub_2022"/>
      <w:bookmarkEnd w:id="3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</w:p>
    <w:bookmarkEnd w:id="4"/>
    <w:p w:rsidR="003B4B1D" w:rsidRDefault="003B4B1D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3B4B1D" w:rsidRDefault="00CC2EC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3B4B1D" w:rsidRDefault="003B4B1D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9E53C4" w:rsidRDefault="00CC2EC0" w:rsidP="009E53C4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</w:t>
      </w:r>
      <w:r w:rsidR="009E53C4">
        <w:rPr>
          <w:rFonts w:ascii="Tinos" w:eastAsia="Tinos" w:hAnsi="Tinos" w:cs="Tinos"/>
          <w:color w:val="000000"/>
          <w:sz w:val="28"/>
        </w:rPr>
        <w:t>–</w:t>
      </w:r>
      <w:r>
        <w:rPr>
          <w:rFonts w:ascii="Tinos" w:eastAsia="Tinos" w:hAnsi="Tinos" w:cs="Tinos"/>
          <w:color w:val="000000"/>
          <w:sz w:val="28"/>
        </w:rPr>
        <w:t xml:space="preserve"> </w:t>
      </w:r>
      <w:bookmarkStart w:id="5" w:name="sub_2023"/>
      <w:r w:rsidR="009E53C4">
        <w:rPr>
          <w:rFonts w:ascii="Tinos" w:eastAsia="Tinos" w:hAnsi="Tinos" w:cs="Tinos"/>
          <w:color w:val="000000"/>
          <w:sz w:val="28"/>
        </w:rPr>
        <w:t>Администрацией  муниципального образования Имангуловский сельсовет.</w:t>
      </w:r>
    </w:p>
    <w:p w:rsidR="009E53C4" w:rsidRDefault="009E53C4" w:rsidP="009E53C4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 w:rsidP="009E53C4">
      <w:pPr>
        <w:pStyle w:val="af9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5"/>
    </w:p>
    <w:p w:rsidR="003B4B1D" w:rsidRDefault="003B4B1D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предоставления Услуги является: 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CC2EC0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3B4B1D" w:rsidRDefault="003B4B1D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3B4B1D" w:rsidRDefault="00CC2EC0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3B4B1D" w:rsidRDefault="003B4B1D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3B4B1D" w:rsidRDefault="003B4B1D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3B4B1D" w:rsidRDefault="003B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3B4B1D" w:rsidRDefault="003B4B1D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3B4B1D" w:rsidRDefault="003B4B1D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3B4B1D" w:rsidRDefault="00CC2EC0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</w:t>
      </w:r>
      <w:r>
        <w:rPr>
          <w:rFonts w:ascii="Tinos" w:eastAsia="Tinos" w:hAnsi="Tinos" w:cs="Tinos"/>
          <w:color w:val="000000"/>
          <w:sz w:val="28"/>
        </w:rPr>
        <w:lastRenderedPageBreak/>
        <w:t>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3B4B1D" w:rsidRDefault="003B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10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3B4B1D" w:rsidRDefault="003B4B1D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3B4B1D" w:rsidRDefault="003B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3B4B1D" w:rsidRDefault="003B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3B4B1D" w:rsidRDefault="003B4B1D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3B4B1D" w:rsidRDefault="003B4B1D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9E53C4" w:rsidRDefault="009E5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9E53C4" w:rsidRDefault="009E5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9E53C4" w:rsidRDefault="009E5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9E53C4" w:rsidRDefault="009E5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расположенных на землях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населенных пунктов, в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безвозмездное пользование без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проведения торгов»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</w:t>
      </w:r>
      <w:r>
        <w:rPr>
          <w:rFonts w:ascii="Tinos" w:eastAsia="Tinos" w:hAnsi="Tinos" w:cs="Tinos"/>
          <w:color w:val="000000"/>
          <w:sz w:val="28"/>
        </w:rPr>
        <w:t>селенных пунктов, в безвозмездное пользование без проведения торгов;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з) ИС СИР СОУ ОО - система исполнения регламентов Информационной системы оказания услуг Оренбургской области 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1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3B4B1D" w:rsidRDefault="003B4B1D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3B4B1D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3B4B1D" w:rsidRDefault="003B4B1D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3B4B1D" w:rsidRDefault="003B4B1D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3B4B1D" w:rsidRDefault="003B4B1D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3B4B1D" w:rsidRDefault="003B4B1D">
            <w:pPr>
              <w:pStyle w:val="af0"/>
              <w:ind w:firstLine="0"/>
              <w:jc w:val="center"/>
            </w:pPr>
          </w:p>
        </w:tc>
      </w:tr>
      <w:tr w:rsidR="003B4B1D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3B4B1D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3B4B1D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3B4B1D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3B4B1D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3B4B1D" w:rsidRDefault="003B4B1D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3B4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3B4B1D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B4B1D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doc, docx, odt - для документов с текстовым содержанием, не включающим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формулы (за исключением документов, содержащих расчеты);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использованием следующих режимов: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каждый из которых содержит текстовую и (или) графическую информацию</w:t>
            </w:r>
          </w:p>
        </w:tc>
      </w:tr>
      <w:tr w:rsidR="003B4B1D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3B4B1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3B4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3B4B1D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3B4B1D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B4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3B4B1D">
            <w:pPr>
              <w:pStyle w:val="af2"/>
            </w:pPr>
          </w:p>
        </w:tc>
      </w:tr>
      <w:tr w:rsidR="003B4B1D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3B4B1D">
            <w:pPr>
              <w:pStyle w:val="af2"/>
            </w:pPr>
          </w:p>
        </w:tc>
      </w:tr>
      <w:tr w:rsidR="003B4B1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3B4B1D">
            <w:pPr>
              <w:pStyle w:val="af2"/>
            </w:pPr>
          </w:p>
        </w:tc>
      </w:tr>
      <w:tr w:rsidR="003B4B1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3B4B1D">
            <w:pPr>
              <w:pStyle w:val="af2"/>
            </w:pPr>
          </w:p>
        </w:tc>
      </w:tr>
      <w:tr w:rsidR="003B4B1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3B4B1D">
            <w:pPr>
              <w:pStyle w:val="af2"/>
            </w:pPr>
          </w:p>
        </w:tc>
      </w:tr>
      <w:tr w:rsidR="003B4B1D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Решение о предоставлении водных биологических ресурсов в пользование, договор пользования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20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3B4B1D">
            <w:pPr>
              <w:pStyle w:val="af2"/>
            </w:pPr>
          </w:p>
        </w:tc>
      </w:tr>
    </w:tbl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3B4B1D" w:rsidRDefault="003B4B1D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3B4B1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3B4B1D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3B4B1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Неполное, некорректное заполнение полей в форме заявления, в том числе в интерактивной форме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lastRenderedPageBreak/>
              <w:t>А - 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3B4B1D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3B4B1D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3B4B1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3B4B1D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3B4B1D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3B4B1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3B4B1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3B4B1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3B4B1D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3B4B1D">
      <w:pPr>
        <w:rPr>
          <w:rFonts w:ascii="TimesNewRoman" w:eastAsia="TimesNewRoman" w:hAnsi="TimesNewRoman" w:cs="TimesNewRoman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3B4B1D" w:rsidRDefault="00CC2EC0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3B4B1D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3B4B1D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3B4B1D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CC2EC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3B4B1D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B4B1D" w:rsidRDefault="003B4B1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3B4B1D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B4B1D" w:rsidRDefault="003B4B1D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землях населенных пунктов, в безвозмездное пользование без проведения торгов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безвозмездное пользование без проведения торгов,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индивидуального предпринимателя) - фамилия, имя, отчество (при  наличии),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3B4B1D" w:rsidRDefault="003B4B1D">
      <w:pPr>
        <w:ind w:firstLine="8220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безвозмездное пользование без проведения торгов</w:t>
      </w: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CC2EC0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ind w:firstLine="1134"/>
        <w:rPr>
          <w:rFonts w:ascii="TimesNewRoman" w:eastAsia="TimesNewRoman" w:hAnsi="TimesNewRoman" w:cs="TimesNewRoman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 Подпись /_______________/                                                    Дата __________ </w:t>
      </w:r>
    </w:p>
    <w:p w:rsidR="003B4B1D" w:rsidRDefault="00CC2E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3B4B1D" w:rsidRDefault="003B4B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3B4B1D">
      <w:headerReference w:type="default" r:id="rId21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41" w:rsidRDefault="00825141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825141" w:rsidRDefault="00825141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</w:font>
  <w:font w:name="TimesNewRomanPSMT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41" w:rsidRDefault="00825141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825141" w:rsidRDefault="00825141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B1D" w:rsidRDefault="00CC2EC0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5B08A5">
      <w:rPr>
        <w:noProof/>
      </w:rPr>
      <w:t>2</w:t>
    </w:r>
    <w:r>
      <w:fldChar w:fldCharType="end"/>
    </w:r>
  </w:p>
  <w:p w:rsidR="003B4B1D" w:rsidRDefault="003B4B1D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18AC"/>
    <w:multiLevelType w:val="hybridMultilevel"/>
    <w:tmpl w:val="6DB42A38"/>
    <w:lvl w:ilvl="0" w:tplc="24E8487C">
      <w:start w:val="1"/>
      <w:numFmt w:val="decimal"/>
      <w:lvlText w:val="%1."/>
      <w:lvlJc w:val="left"/>
      <w:pPr>
        <w:ind w:hanging="360"/>
      </w:pPr>
    </w:lvl>
    <w:lvl w:ilvl="1" w:tplc="1F346244">
      <w:start w:val="1"/>
      <w:numFmt w:val="lowerLetter"/>
      <w:lvlText w:val="%2."/>
      <w:lvlJc w:val="left"/>
      <w:pPr>
        <w:ind w:hanging="360"/>
      </w:pPr>
    </w:lvl>
    <w:lvl w:ilvl="2" w:tplc="3424CA0E">
      <w:start w:val="1"/>
      <w:numFmt w:val="lowerRoman"/>
      <w:lvlText w:val="%3."/>
      <w:lvlJc w:val="right"/>
      <w:pPr>
        <w:ind w:hanging="180"/>
      </w:pPr>
    </w:lvl>
    <w:lvl w:ilvl="3" w:tplc="3A5EB1B2">
      <w:start w:val="1"/>
      <w:numFmt w:val="decimal"/>
      <w:lvlText w:val="%4."/>
      <w:lvlJc w:val="left"/>
      <w:pPr>
        <w:ind w:hanging="360"/>
      </w:pPr>
    </w:lvl>
    <w:lvl w:ilvl="4" w:tplc="84D66958">
      <w:start w:val="1"/>
      <w:numFmt w:val="lowerLetter"/>
      <w:lvlText w:val="%5."/>
      <w:lvlJc w:val="left"/>
      <w:pPr>
        <w:ind w:hanging="360"/>
      </w:pPr>
    </w:lvl>
    <w:lvl w:ilvl="5" w:tplc="DF8CA83C">
      <w:start w:val="1"/>
      <w:numFmt w:val="lowerRoman"/>
      <w:lvlText w:val="%6."/>
      <w:lvlJc w:val="right"/>
      <w:pPr>
        <w:ind w:hanging="180"/>
      </w:pPr>
    </w:lvl>
    <w:lvl w:ilvl="6" w:tplc="A9F80A24">
      <w:start w:val="1"/>
      <w:numFmt w:val="decimal"/>
      <w:lvlText w:val="%7."/>
      <w:lvlJc w:val="left"/>
      <w:pPr>
        <w:ind w:hanging="360"/>
      </w:pPr>
    </w:lvl>
    <w:lvl w:ilvl="7" w:tplc="77C67DC4">
      <w:start w:val="1"/>
      <w:numFmt w:val="lowerLetter"/>
      <w:lvlText w:val="%8."/>
      <w:lvlJc w:val="left"/>
      <w:pPr>
        <w:ind w:hanging="360"/>
      </w:pPr>
    </w:lvl>
    <w:lvl w:ilvl="8" w:tplc="6F360DF4">
      <w:start w:val="1"/>
      <w:numFmt w:val="lowerRoman"/>
      <w:lvlText w:val="%9."/>
      <w:lvlJc w:val="right"/>
      <w:pPr>
        <w:ind w:hanging="180"/>
      </w:pPr>
    </w:lvl>
  </w:abstractNum>
  <w:abstractNum w:abstractNumId="1" w15:restartNumberingAfterBreak="0">
    <w:nsid w:val="2F191921"/>
    <w:multiLevelType w:val="hybridMultilevel"/>
    <w:tmpl w:val="60D0A516"/>
    <w:lvl w:ilvl="0" w:tplc="C2EAFE8A">
      <w:start w:val="1"/>
      <w:numFmt w:val="bullet"/>
      <w:lvlText w:val="·"/>
      <w:lvlJc w:val="left"/>
      <w:pPr>
        <w:ind w:hanging="360"/>
      </w:pPr>
    </w:lvl>
    <w:lvl w:ilvl="1" w:tplc="92B260BC">
      <w:numFmt w:val="decimal"/>
      <w:lvlText w:val="o"/>
      <w:lvlJc w:val="left"/>
      <w:pPr>
        <w:ind w:left="0"/>
      </w:pPr>
    </w:lvl>
    <w:lvl w:ilvl="2" w:tplc="9672403E">
      <w:numFmt w:val="decimal"/>
      <w:lvlText w:val="§"/>
      <w:lvlJc w:val="left"/>
      <w:pPr>
        <w:ind w:left="0"/>
      </w:pPr>
    </w:lvl>
    <w:lvl w:ilvl="3" w:tplc="FEB63678">
      <w:numFmt w:val="decimal"/>
      <w:lvlText w:val="·"/>
      <w:lvlJc w:val="left"/>
      <w:pPr>
        <w:ind w:left="0"/>
      </w:pPr>
    </w:lvl>
    <w:lvl w:ilvl="4" w:tplc="ED740830">
      <w:numFmt w:val="decimal"/>
      <w:lvlText w:val="o"/>
      <w:lvlJc w:val="left"/>
      <w:pPr>
        <w:ind w:left="0"/>
      </w:pPr>
    </w:lvl>
    <w:lvl w:ilvl="5" w:tplc="900A3A54">
      <w:numFmt w:val="decimal"/>
      <w:lvlText w:val="§"/>
      <w:lvlJc w:val="left"/>
      <w:pPr>
        <w:ind w:left="0"/>
      </w:pPr>
    </w:lvl>
    <w:lvl w:ilvl="6" w:tplc="0D98F232">
      <w:numFmt w:val="decimal"/>
      <w:lvlText w:val="·"/>
      <w:lvlJc w:val="left"/>
      <w:pPr>
        <w:ind w:left="0"/>
      </w:pPr>
    </w:lvl>
    <w:lvl w:ilvl="7" w:tplc="197AA1D8">
      <w:numFmt w:val="decimal"/>
      <w:lvlText w:val="o"/>
      <w:lvlJc w:val="left"/>
      <w:pPr>
        <w:ind w:left="0"/>
      </w:pPr>
    </w:lvl>
    <w:lvl w:ilvl="8" w:tplc="673A786C">
      <w:numFmt w:val="decimal"/>
      <w:lvlText w:val="§"/>
      <w:lvlJc w:val="left"/>
      <w:pPr>
        <w:ind w:left="0"/>
      </w:pPr>
    </w:lvl>
  </w:abstractNum>
  <w:abstractNum w:abstractNumId="2" w15:restartNumberingAfterBreak="0">
    <w:nsid w:val="5F5E7591"/>
    <w:multiLevelType w:val="hybridMultilevel"/>
    <w:tmpl w:val="1E5AB6E8"/>
    <w:lvl w:ilvl="0" w:tplc="57DC11D2">
      <w:start w:val="1"/>
      <w:numFmt w:val="bullet"/>
      <w:lvlText w:val="–"/>
      <w:lvlJc w:val="left"/>
      <w:pPr>
        <w:ind w:hanging="360"/>
      </w:pPr>
    </w:lvl>
    <w:lvl w:ilvl="1" w:tplc="0C5C69DC">
      <w:start w:val="1"/>
      <w:numFmt w:val="bullet"/>
      <w:lvlText w:val="o"/>
      <w:lvlJc w:val="left"/>
      <w:pPr>
        <w:ind w:hanging="360"/>
      </w:pPr>
    </w:lvl>
    <w:lvl w:ilvl="2" w:tplc="964689A4">
      <w:start w:val="1"/>
      <w:numFmt w:val="bullet"/>
      <w:lvlText w:val="§"/>
      <w:lvlJc w:val="left"/>
      <w:pPr>
        <w:ind w:hanging="360"/>
      </w:pPr>
    </w:lvl>
    <w:lvl w:ilvl="3" w:tplc="E5FA6DAC">
      <w:start w:val="1"/>
      <w:numFmt w:val="bullet"/>
      <w:lvlText w:val="·"/>
      <w:lvlJc w:val="left"/>
      <w:pPr>
        <w:ind w:hanging="360"/>
      </w:pPr>
    </w:lvl>
    <w:lvl w:ilvl="4" w:tplc="CDC49746">
      <w:start w:val="1"/>
      <w:numFmt w:val="bullet"/>
      <w:lvlText w:val="o"/>
      <w:lvlJc w:val="left"/>
      <w:pPr>
        <w:ind w:hanging="360"/>
      </w:pPr>
    </w:lvl>
    <w:lvl w:ilvl="5" w:tplc="E6B2D8AE">
      <w:start w:val="1"/>
      <w:numFmt w:val="bullet"/>
      <w:lvlText w:val="§"/>
      <w:lvlJc w:val="left"/>
      <w:pPr>
        <w:ind w:hanging="360"/>
      </w:pPr>
    </w:lvl>
    <w:lvl w:ilvl="6" w:tplc="2E1AEAAA">
      <w:start w:val="1"/>
      <w:numFmt w:val="bullet"/>
      <w:lvlText w:val="·"/>
      <w:lvlJc w:val="left"/>
      <w:pPr>
        <w:ind w:hanging="360"/>
      </w:pPr>
    </w:lvl>
    <w:lvl w:ilvl="7" w:tplc="036EFEFA">
      <w:start w:val="1"/>
      <w:numFmt w:val="bullet"/>
      <w:lvlText w:val="o"/>
      <w:lvlJc w:val="left"/>
      <w:pPr>
        <w:ind w:hanging="360"/>
      </w:pPr>
    </w:lvl>
    <w:lvl w:ilvl="8" w:tplc="8554554A">
      <w:start w:val="1"/>
      <w:numFmt w:val="bullet"/>
      <w:lvlText w:val="§"/>
      <w:lvlJc w:val="left"/>
      <w:pPr>
        <w:ind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B1D"/>
    <w:rsid w:val="003B4B1D"/>
    <w:rsid w:val="004146A8"/>
    <w:rsid w:val="005B08A5"/>
    <w:rsid w:val="00825141"/>
    <w:rsid w:val="009E53C4"/>
    <w:rsid w:val="00CC2EC0"/>
    <w:rsid w:val="00E4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80DA"/>
  <w15:docId w15:val="{F8152482-5121-4D9A-9F51-54ADDA5A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table" w:customStyle="1" w:styleId="13">
    <w:name w:val="Сетка таблицы1"/>
    <w:basedOn w:val="a1"/>
    <w:next w:val="a7"/>
    <w:uiPriority w:val="59"/>
    <w:qFormat/>
    <w:rsid w:val="00E4060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59"/>
    <w:qFormat/>
    <w:rsid w:val="00E4060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garantf1://16356421.0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4606</Words>
  <Characters>26255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spec</cp:lastModifiedBy>
  <cp:revision>6</cp:revision>
  <dcterms:created xsi:type="dcterms:W3CDTF">2026-04-27T04:20:00Z</dcterms:created>
  <dcterms:modified xsi:type="dcterms:W3CDTF">2026-05-06T06:50:00Z</dcterms:modified>
</cp:coreProperties>
</file>